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FFA897">
      <w:pPr>
        <w:pStyle w:val="15"/>
        <w:jc w:val="center"/>
        <w:rPr>
          <w:sz w:val="56"/>
          <w:szCs w:val="56"/>
        </w:rPr>
      </w:pPr>
      <w:r>
        <w:rPr>
          <w:sz w:val="56"/>
        </w:rPr>
        <mc:AlternateContent>
          <mc:Choice Requires="wps">
            <w:drawing>
              <wp:anchor distT="0" distB="0" distL="114300" distR="114300" simplePos="0" relativeHeight="251659264" behindDoc="0" locked="0" layoutInCell="1" allowOverlap="1">
                <wp:simplePos x="0" y="0"/>
                <wp:positionH relativeFrom="column">
                  <wp:posOffset>-236220</wp:posOffset>
                </wp:positionH>
                <wp:positionV relativeFrom="paragraph">
                  <wp:posOffset>-297180</wp:posOffset>
                </wp:positionV>
                <wp:extent cx="1523365" cy="517525"/>
                <wp:effectExtent l="0" t="0" r="635" b="15875"/>
                <wp:wrapNone/>
                <wp:docPr id="1" name="文本框 1"/>
                <wp:cNvGraphicFramePr/>
                <a:graphic xmlns:a="http://schemas.openxmlformats.org/drawingml/2006/main">
                  <a:graphicData uri="http://schemas.microsoft.com/office/word/2010/wordprocessingShape">
                    <wps:wsp>
                      <wps:cNvSpPr txBox="1"/>
                      <wps:spPr>
                        <a:xfrm>
                          <a:off x="1799590" y="935990"/>
                          <a:ext cx="1523365" cy="517525"/>
                        </a:xfrm>
                        <a:prstGeom prst="rect">
                          <a:avLst/>
                        </a:prstGeom>
                        <a:solidFill>
                          <a:srgbClr val="FFFFFF"/>
                        </a:solidFill>
                        <a:ln w="6350">
                          <a:noFill/>
                        </a:ln>
                        <a:effectLst/>
                      </wps:spPr>
                      <wps:txbx>
                        <w:txbxContent>
                          <w:p w14:paraId="2AD0EB83">
                            <w:pPr>
                              <w:rPr>
                                <w:rFonts w:hint="eastAsia" w:ascii="楷体" w:hAnsi="楷体" w:eastAsia="楷体" w:cs="楷体"/>
                                <w:sz w:val="30"/>
                                <w:szCs w:val="30"/>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8.6pt;margin-top:-23.4pt;height:40.75pt;width:119.95pt;z-index:251659264;mso-width-relative:page;mso-height-relative:page;" fillcolor="#FFFFFF" filled="t" stroked="f" coordsize="21600,21600" o:gfxdata="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cvAm&#10;UNYAAAAKAQAADwAAAAAAAAABACAAAAAiAAAAZHJzL2Rvd25yZXYueG1sUEsBAhQAFAAAAAgAh07i&#10;QBc6bCZdAgAAqAQAAA4AAAAAAAAAAQAgAAAAJQEAAGRycy9lMm9Eb2MueG1sUEsFBgAAAAAGAAYA&#10;WQEAAPQFAAAAAA==&#10;">
                <v:fill on="t" focussize="0,0"/>
                <v:stroke on="f" weight="0.5pt"/>
                <v:imagedata o:title=""/>
                <o:lock v:ext="edit" aspectratio="f"/>
                <v:textbox>
                  <w:txbxContent>
                    <w:p w14:paraId="2AD0EB83">
                      <w:pPr>
                        <w:rPr>
                          <w:rFonts w:hint="eastAsia" w:ascii="楷体" w:hAnsi="楷体" w:eastAsia="楷体" w:cs="楷体"/>
                          <w:sz w:val="30"/>
                          <w:szCs w:val="30"/>
                          <w:lang w:val="en-US" w:eastAsia="zh-CN"/>
                        </w:rPr>
                      </w:pPr>
                    </w:p>
                  </w:txbxContent>
                </v:textbox>
              </v:shape>
            </w:pict>
          </mc:Fallback>
        </mc:AlternateContent>
      </w:r>
    </w:p>
    <w:p w14:paraId="7976D45C">
      <w:pPr>
        <w:pStyle w:val="15"/>
        <w:jc w:val="center"/>
        <w:rPr>
          <w:sz w:val="56"/>
          <w:szCs w:val="56"/>
        </w:rPr>
      </w:pPr>
    </w:p>
    <w:p w14:paraId="01C2E305">
      <w:pPr>
        <w:pStyle w:val="15"/>
        <w:jc w:val="center"/>
        <w:rPr>
          <w:sz w:val="84"/>
          <w:szCs w:val="84"/>
        </w:rPr>
      </w:pPr>
    </w:p>
    <w:p w14:paraId="013C94E0">
      <w:pPr>
        <w:pStyle w:val="15"/>
        <w:jc w:val="center"/>
        <w:rPr>
          <w:sz w:val="84"/>
          <w:szCs w:val="84"/>
        </w:rPr>
      </w:pPr>
    </w:p>
    <w:p w14:paraId="6BED9DC8">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17F5C6E1">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湖南省大中专学校学生信息咨询与就业指导中心部门决算</w:t>
      </w:r>
    </w:p>
    <w:p w14:paraId="00D0D4BB">
      <w:pPr>
        <w:pStyle w:val="15"/>
        <w:jc w:val="center"/>
        <w:rPr>
          <w:rFonts w:hint="eastAsia" w:ascii="方正小标宋_GBK" w:hAnsi="方正小标宋_GBK" w:eastAsia="方正小标宋_GBK" w:cs="方正小标宋_GBK"/>
          <w:sz w:val="56"/>
          <w:szCs w:val="56"/>
        </w:rPr>
      </w:pPr>
    </w:p>
    <w:p w14:paraId="03CE07DB">
      <w:pPr>
        <w:pStyle w:val="15"/>
        <w:jc w:val="center"/>
        <w:rPr>
          <w:sz w:val="56"/>
          <w:szCs w:val="56"/>
        </w:rPr>
      </w:pPr>
    </w:p>
    <w:p w14:paraId="71093479">
      <w:pPr>
        <w:pStyle w:val="15"/>
        <w:jc w:val="center"/>
        <w:rPr>
          <w:sz w:val="56"/>
          <w:szCs w:val="56"/>
        </w:rPr>
      </w:pPr>
    </w:p>
    <w:p w14:paraId="15E0059F">
      <w:pPr>
        <w:pStyle w:val="15"/>
        <w:jc w:val="center"/>
        <w:rPr>
          <w:sz w:val="56"/>
          <w:szCs w:val="56"/>
        </w:rPr>
      </w:pPr>
    </w:p>
    <w:p w14:paraId="3973C1BA">
      <w:pPr>
        <w:pStyle w:val="15"/>
        <w:spacing w:line="500" w:lineRule="exact"/>
        <w:jc w:val="both"/>
        <w:rPr>
          <w:b/>
          <w:sz w:val="36"/>
          <w:szCs w:val="28"/>
        </w:rPr>
      </w:pPr>
    </w:p>
    <w:p w14:paraId="7D14DE83">
      <w:pPr>
        <w:pStyle w:val="15"/>
        <w:spacing w:line="500" w:lineRule="exact"/>
        <w:jc w:val="center"/>
        <w:rPr>
          <w:rFonts w:hint="eastAsia" w:ascii="黑体" w:hAnsi="黑体" w:eastAsia="黑体" w:cs="黑体"/>
          <w:b w:val="0"/>
          <w:bCs/>
          <w:color w:val="000000"/>
          <w:sz w:val="28"/>
          <w:szCs w:val="28"/>
        </w:rPr>
      </w:pPr>
      <w:r>
        <w:rPr>
          <w:rFonts w:hint="eastAsia" w:ascii="黑体" w:hAnsi="黑体" w:eastAsia="黑体" w:cs="黑体"/>
          <w:b w:val="0"/>
          <w:bCs/>
          <w:color w:val="000000"/>
          <w:sz w:val="28"/>
          <w:szCs w:val="28"/>
        </w:rPr>
        <w:t>目录</w:t>
      </w:r>
    </w:p>
    <w:p w14:paraId="2C8D3D4B">
      <w:pPr>
        <w:pStyle w:val="15"/>
        <w:spacing w:line="500" w:lineRule="exact"/>
        <w:rPr>
          <w:rFonts w:hint="eastAsia" w:ascii="黑体" w:hAnsi="黑体" w:eastAsia="黑体" w:cs="黑体"/>
          <w:b w:val="0"/>
          <w:bCs/>
          <w:color w:val="000000"/>
          <w:sz w:val="28"/>
          <w:szCs w:val="28"/>
        </w:rPr>
      </w:pPr>
      <w:r>
        <w:rPr>
          <w:rFonts w:hint="eastAsia" w:ascii="黑体" w:hAnsi="黑体" w:eastAsia="黑体" w:cs="黑体"/>
          <w:b w:val="0"/>
          <w:bCs/>
          <w:color w:val="000000"/>
          <w:sz w:val="28"/>
          <w:szCs w:val="28"/>
        </w:rPr>
        <w:t>第一部分</w:t>
      </w:r>
      <w:r>
        <w:rPr>
          <w:rFonts w:hint="eastAsia" w:ascii="黑体" w:hAnsi="黑体" w:eastAsia="黑体" w:cs="黑体"/>
          <w:b w:val="0"/>
          <w:bCs/>
          <w:color w:val="000000"/>
          <w:sz w:val="28"/>
          <w:szCs w:val="28"/>
          <w:lang w:val="en-US" w:eastAsia="zh-CN"/>
        </w:rPr>
        <w:t xml:space="preserve"> </w:t>
      </w:r>
      <w:r>
        <w:rPr>
          <w:rFonts w:hint="eastAsia" w:ascii="黑体" w:hAnsi="黑体" w:eastAsia="黑体" w:cs="黑体"/>
          <w:b w:val="0"/>
          <w:bCs/>
          <w:color w:val="000000"/>
          <w:sz w:val="28"/>
          <w:szCs w:val="28"/>
        </w:rPr>
        <w:t>湖南省大中专学校学生信息咨询与就业指导中心概况</w:t>
      </w:r>
    </w:p>
    <w:p w14:paraId="1DCD9497">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03C9DB92">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14:paraId="05698B7F">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2E718704">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20ADBD72">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74636EC4">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6710AC6F">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6B7948B4">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4CA8F1AD">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64900672">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276E1F01">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69C3D170">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3117F13F">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49B94AAD">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661B853B">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2F0FE01B">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1FDBEB55">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7ED5B005">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2B8356C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7F6C234C">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七、财政拨款三公经费支出决算情况说明</w:t>
      </w:r>
    </w:p>
    <w:p w14:paraId="0F505791">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14:paraId="4DAFE328">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14:paraId="68356FE9">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14:paraId="31EC8527">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14:paraId="2ABA2FB0">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14:paraId="539D0822">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25DB4231">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7F828079">
      <w:pPr>
        <w:pStyle w:val="15"/>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531C735E">
      <w:pPr>
        <w:pStyle w:val="15"/>
        <w:spacing w:line="500" w:lineRule="exact"/>
        <w:rPr>
          <w:rFonts w:hint="eastAsia" w:ascii="黑体" w:hAnsi="黑体" w:eastAsia="黑体" w:cs="黑体"/>
          <w:b w:val="0"/>
          <w:bCs/>
          <w:sz w:val="28"/>
          <w:szCs w:val="28"/>
        </w:rPr>
      </w:pPr>
    </w:p>
    <w:p w14:paraId="13964B28">
      <w:pPr>
        <w:jc w:val="center"/>
        <w:rPr>
          <w:sz w:val="72"/>
          <w:szCs w:val="72"/>
        </w:rPr>
      </w:pPr>
    </w:p>
    <w:p w14:paraId="08ADC961">
      <w:pPr>
        <w:jc w:val="center"/>
        <w:rPr>
          <w:sz w:val="72"/>
          <w:szCs w:val="72"/>
        </w:rPr>
      </w:pPr>
    </w:p>
    <w:p w14:paraId="7D2C93B0">
      <w:pPr>
        <w:jc w:val="center"/>
        <w:rPr>
          <w:sz w:val="72"/>
          <w:szCs w:val="72"/>
        </w:rPr>
      </w:pPr>
    </w:p>
    <w:p w14:paraId="6118C573">
      <w:pPr>
        <w:jc w:val="center"/>
        <w:rPr>
          <w:sz w:val="72"/>
          <w:szCs w:val="72"/>
        </w:rPr>
      </w:pPr>
    </w:p>
    <w:p w14:paraId="2C9B94BE">
      <w:pPr>
        <w:rPr>
          <w:rFonts w:hint="eastAsia" w:ascii="方正小标宋_GBK" w:hAnsi="方正小标宋_GBK" w:eastAsia="方正小标宋_GBK" w:cs="方正小标宋_GBK"/>
          <w:sz w:val="72"/>
          <w:szCs w:val="72"/>
        </w:rPr>
      </w:pPr>
    </w:p>
    <w:p w14:paraId="6BFB4BE3">
      <w:pPr>
        <w:pStyle w:val="15"/>
        <w:jc w:val="center"/>
        <w:rPr>
          <w:rFonts w:hint="eastAsia" w:ascii="方正小标宋_GBK" w:hAnsi="方正小标宋_GBK" w:eastAsia="方正小标宋_GBK" w:cs="方正小标宋_GBK"/>
          <w:sz w:val="84"/>
          <w:szCs w:val="84"/>
        </w:rPr>
      </w:pPr>
    </w:p>
    <w:p w14:paraId="4FE43357">
      <w:pPr>
        <w:pStyle w:val="15"/>
        <w:jc w:val="center"/>
        <w:rPr>
          <w:rFonts w:hint="eastAsia" w:ascii="方正小标宋_GBK" w:hAnsi="方正小标宋_GBK" w:eastAsia="方正小标宋_GBK" w:cs="方正小标宋_GBK"/>
          <w:sz w:val="84"/>
          <w:szCs w:val="84"/>
        </w:rPr>
      </w:pPr>
    </w:p>
    <w:p w14:paraId="06C48CF1">
      <w:pPr>
        <w:pStyle w:val="15"/>
        <w:jc w:val="center"/>
        <w:rPr>
          <w:rFonts w:hint="eastAsia" w:ascii="方正小标宋_GBK" w:hAnsi="方正小标宋_GBK" w:eastAsia="方正小标宋_GBK" w:cs="方正小标宋_GBK"/>
          <w:sz w:val="84"/>
          <w:szCs w:val="84"/>
        </w:rPr>
      </w:pPr>
    </w:p>
    <w:p w14:paraId="7E7F431E">
      <w:pPr>
        <w:pStyle w:val="15"/>
        <w:jc w:val="center"/>
        <w:rPr>
          <w:rFonts w:hint="eastAsia" w:ascii="方正小标宋_GBK" w:hAnsi="方正小标宋_GBK" w:eastAsia="方正小标宋_GBK" w:cs="方正小标宋_GBK"/>
          <w:sz w:val="84"/>
          <w:szCs w:val="84"/>
        </w:rPr>
      </w:pPr>
    </w:p>
    <w:p w14:paraId="171EC7EF">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55A72DB1">
      <w:pPr>
        <w:pStyle w:val="15"/>
        <w:jc w:val="center"/>
        <w:rPr>
          <w:rFonts w:hint="eastAsia" w:ascii="方正小标宋_GBK" w:hAnsi="方正小标宋_GBK" w:eastAsia="方正小标宋_GBK" w:cs="方正小标宋_GBK"/>
          <w:sz w:val="84"/>
          <w:szCs w:val="84"/>
        </w:rPr>
      </w:pPr>
    </w:p>
    <w:p w14:paraId="5BD53D7D">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湖南省大中专学校学生信息咨询与就业指导中心单位概况</w:t>
      </w:r>
    </w:p>
    <w:p w14:paraId="1ED287C2">
      <w:pPr>
        <w:jc w:val="center"/>
        <w:rPr>
          <w:rFonts w:hint="eastAsia" w:ascii="方正小标宋_GBK" w:hAnsi="方正小标宋_GBK" w:eastAsia="方正小标宋_GBK" w:cs="方正小标宋_GBK"/>
          <w:sz w:val="72"/>
          <w:szCs w:val="72"/>
        </w:rPr>
      </w:pPr>
    </w:p>
    <w:p w14:paraId="1CBFA674">
      <w:pPr>
        <w:pStyle w:val="5"/>
        <w:rPr>
          <w:rFonts w:hint="eastAsia"/>
        </w:rPr>
      </w:pPr>
    </w:p>
    <w:p w14:paraId="7C156CB0">
      <w:pPr>
        <w:jc w:val="center"/>
        <w:rPr>
          <w:rFonts w:hint="eastAsia" w:ascii="方正小标宋_GBK" w:hAnsi="方正小标宋_GBK" w:eastAsia="方正小标宋_GBK" w:cs="方正小标宋_GBK"/>
          <w:sz w:val="72"/>
          <w:szCs w:val="72"/>
        </w:rPr>
      </w:pPr>
    </w:p>
    <w:p w14:paraId="1C45BD90">
      <w:pPr>
        <w:jc w:val="both"/>
        <w:rPr>
          <w:sz w:val="72"/>
          <w:szCs w:val="72"/>
        </w:rPr>
      </w:pPr>
    </w:p>
    <w:p w14:paraId="4E92CB88">
      <w:pPr>
        <w:jc w:val="center"/>
        <w:rPr>
          <w:sz w:val="72"/>
          <w:szCs w:val="72"/>
        </w:rPr>
      </w:pPr>
    </w:p>
    <w:p w14:paraId="646C3213">
      <w:pPr>
        <w:pStyle w:val="2"/>
        <w:rPr>
          <w:sz w:val="72"/>
          <w:szCs w:val="72"/>
        </w:rPr>
      </w:pPr>
    </w:p>
    <w:p w14:paraId="3EB8DFF5">
      <w:pPr>
        <w:pStyle w:val="3"/>
        <w:rPr>
          <w:sz w:val="72"/>
          <w:szCs w:val="72"/>
        </w:rPr>
      </w:pPr>
    </w:p>
    <w:p w14:paraId="14F726AD">
      <w:pPr>
        <w:pStyle w:val="3"/>
        <w:rPr>
          <w:sz w:val="72"/>
          <w:szCs w:val="72"/>
        </w:rPr>
      </w:pPr>
    </w:p>
    <w:p w14:paraId="35C72CF7">
      <w:pPr>
        <w:pStyle w:val="16"/>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3F1B4E8E">
      <w:pPr>
        <w:pStyle w:val="5"/>
        <w:keepNext w:val="0"/>
        <w:keepLines w:val="0"/>
        <w:pageBreakBefore w:val="0"/>
        <w:widowControl/>
        <w:kinsoku w:val="0"/>
        <w:wordWrap/>
        <w:overflowPunct/>
        <w:topLinePunct w:val="0"/>
        <w:autoSpaceDE w:val="0"/>
        <w:autoSpaceDN w:val="0"/>
        <w:bidi w:val="0"/>
        <w:adjustRightInd w:val="0"/>
        <w:snapToGrid w:val="0"/>
        <w:spacing w:line="500" w:lineRule="exact"/>
        <w:ind w:firstLine="640" w:firstLineChars="200"/>
        <w:jc w:val="both"/>
        <w:textAlignment w:val="baseline"/>
      </w:pPr>
      <w:r>
        <w:t>湖南省大中专学校学生信息咨询与就业指导中心(以下简称“中心”)是省教育厅直属参公管理、全额拨款事业单位，现有</w:t>
      </w:r>
      <w:r>
        <w:rPr>
          <w:rFonts w:hint="eastAsia"/>
          <w:lang w:eastAsia="zh-CN"/>
        </w:rPr>
        <w:t>工作人员</w:t>
      </w:r>
      <w:r>
        <w:rPr>
          <w:rFonts w:hint="eastAsia"/>
          <w:lang w:val="en-US" w:eastAsia="zh-CN"/>
        </w:rPr>
        <w:t>32</w:t>
      </w:r>
      <w:r>
        <w:t>人。主要承担协助管理和组织举办全省高校毕业生就业市场活动、托管毕业生档案户籍及党团组织关系、统计与监测高校毕业生就业率、毕业生就业政策宣传与咨询、就业指导培训、创业孵化服务、留学服务、</w:t>
      </w:r>
      <w:r>
        <w:rPr>
          <w:rFonts w:hint="eastAsia"/>
          <w:lang w:eastAsia="zh-CN"/>
        </w:rPr>
        <w:t>高校学籍学历学位管理</w:t>
      </w:r>
      <w:r>
        <w:t>，以及协助农村特岗教师招聘管理、教育部免费师范毕业生就业相关管理等工作。</w:t>
      </w:r>
    </w:p>
    <w:p w14:paraId="2100D23B">
      <w:pPr>
        <w:pStyle w:val="5"/>
        <w:keepNext w:val="0"/>
        <w:keepLines w:val="0"/>
        <w:pageBreakBefore w:val="0"/>
        <w:widowControl/>
        <w:kinsoku w:val="0"/>
        <w:wordWrap/>
        <w:overflowPunct/>
        <w:topLinePunct w:val="0"/>
        <w:autoSpaceDE w:val="0"/>
        <w:autoSpaceDN w:val="0"/>
        <w:bidi w:val="0"/>
        <w:adjustRightInd w:val="0"/>
        <w:snapToGrid w:val="0"/>
        <w:spacing w:line="500" w:lineRule="exact"/>
        <w:ind w:firstLine="640" w:firstLineChars="200"/>
        <w:textAlignment w:val="baseline"/>
        <w:rPr>
          <w:rFonts w:hint="eastAsia" w:ascii="黑体" w:eastAsia="黑体"/>
        </w:rPr>
      </w:pPr>
      <w:r>
        <w:rPr>
          <w:rFonts w:hint="eastAsia" w:ascii="黑体" w:eastAsia="黑体"/>
        </w:rPr>
        <w:t>二、机构设置及决算单位构成</w:t>
      </w:r>
    </w:p>
    <w:p w14:paraId="3FEE52F8">
      <w:pPr>
        <w:pStyle w:val="5"/>
        <w:keepNext w:val="0"/>
        <w:keepLines w:val="0"/>
        <w:pageBreakBefore w:val="0"/>
        <w:widowControl/>
        <w:kinsoku w:val="0"/>
        <w:wordWrap/>
        <w:overflowPunct/>
        <w:topLinePunct w:val="0"/>
        <w:autoSpaceDE w:val="0"/>
        <w:autoSpaceDN w:val="0"/>
        <w:bidi w:val="0"/>
        <w:adjustRightInd w:val="0"/>
        <w:snapToGrid w:val="0"/>
        <w:spacing w:line="500" w:lineRule="exact"/>
        <w:ind w:firstLine="640" w:firstLineChars="200"/>
        <w:textAlignment w:val="baseline"/>
      </w:pPr>
      <w:r>
        <w:t xml:space="preserve">（一）内设机构设置。 </w:t>
      </w:r>
    </w:p>
    <w:p w14:paraId="319042F8">
      <w:pPr>
        <w:pStyle w:val="5"/>
        <w:keepNext w:val="0"/>
        <w:keepLines w:val="0"/>
        <w:pageBreakBefore w:val="0"/>
        <w:widowControl/>
        <w:kinsoku w:val="0"/>
        <w:wordWrap/>
        <w:overflowPunct/>
        <w:topLinePunct w:val="0"/>
        <w:autoSpaceDE w:val="0"/>
        <w:autoSpaceDN w:val="0"/>
        <w:bidi w:val="0"/>
        <w:adjustRightInd w:val="0"/>
        <w:snapToGrid w:val="0"/>
        <w:spacing w:line="500" w:lineRule="exact"/>
        <w:ind w:left="100" w:firstLine="640" w:firstLineChars="200"/>
        <w:textAlignment w:val="baseline"/>
      </w:pPr>
      <w:r>
        <w:t>湖南省大中专学校学生信息咨询与就业指导中心单位内设机构包括：</w:t>
      </w:r>
      <w:r>
        <w:rPr>
          <w:rFonts w:hint="eastAsia"/>
          <w:lang w:eastAsia="zh-CN"/>
        </w:rPr>
        <w:t>综合服务</w:t>
      </w:r>
      <w:r>
        <w:t>部、</w:t>
      </w:r>
      <w:r>
        <w:rPr>
          <w:rFonts w:hint="eastAsia"/>
          <w:lang w:eastAsia="zh-CN"/>
        </w:rPr>
        <w:t>事业发展部</w:t>
      </w:r>
      <w:r>
        <w:t>、</w:t>
      </w:r>
      <w:r>
        <w:rPr>
          <w:rFonts w:hint="eastAsia"/>
          <w:lang w:eastAsia="zh-CN"/>
        </w:rPr>
        <w:t>学籍学历部、创新创业学院、</w:t>
      </w:r>
      <w:r>
        <w:t>办公室</w:t>
      </w:r>
      <w:r>
        <w:rPr>
          <w:rFonts w:hint="eastAsia"/>
          <w:lang w:eastAsia="zh-CN"/>
        </w:rPr>
        <w:t>、财务室等六</w:t>
      </w:r>
      <w:r>
        <w:t>个</w:t>
      </w:r>
      <w:r>
        <w:rPr>
          <w:rFonts w:hint="eastAsia"/>
          <w:lang w:eastAsia="zh-CN"/>
        </w:rPr>
        <w:t>部</w:t>
      </w:r>
      <w:r>
        <w:t xml:space="preserve">室。 </w:t>
      </w:r>
    </w:p>
    <w:p w14:paraId="2D9AFF5E">
      <w:pPr>
        <w:pStyle w:val="5"/>
        <w:keepNext w:val="0"/>
        <w:keepLines w:val="0"/>
        <w:pageBreakBefore w:val="0"/>
        <w:widowControl/>
        <w:kinsoku w:val="0"/>
        <w:wordWrap/>
        <w:overflowPunct/>
        <w:topLinePunct w:val="0"/>
        <w:autoSpaceDE w:val="0"/>
        <w:autoSpaceDN w:val="0"/>
        <w:bidi w:val="0"/>
        <w:adjustRightInd w:val="0"/>
        <w:snapToGrid w:val="0"/>
        <w:spacing w:line="500" w:lineRule="exact"/>
        <w:ind w:left="100" w:firstLine="640" w:firstLineChars="200"/>
        <w:textAlignment w:val="baseline"/>
      </w:pPr>
      <w:r>
        <w:t xml:space="preserve">（二）决算单位构成。 </w:t>
      </w:r>
    </w:p>
    <w:p w14:paraId="2135DDE8">
      <w:pPr>
        <w:pStyle w:val="5"/>
        <w:keepNext w:val="0"/>
        <w:keepLines w:val="0"/>
        <w:pageBreakBefore w:val="0"/>
        <w:widowControl/>
        <w:kinsoku w:val="0"/>
        <w:wordWrap/>
        <w:overflowPunct/>
        <w:topLinePunct w:val="0"/>
        <w:autoSpaceDE w:val="0"/>
        <w:autoSpaceDN w:val="0"/>
        <w:bidi w:val="0"/>
        <w:adjustRightInd w:val="0"/>
        <w:snapToGrid w:val="0"/>
        <w:spacing w:line="500" w:lineRule="exact"/>
        <w:ind w:left="100" w:firstLine="640" w:firstLineChars="200"/>
        <w:textAlignment w:val="baseline"/>
        <w:rPr>
          <w:rFonts w:hint="eastAsia" w:eastAsia="宋体"/>
          <w:lang w:eastAsia="zh-CN"/>
        </w:rPr>
        <w:sectPr>
          <w:footerReference r:id="rId3" w:type="default"/>
          <w:pgSz w:w="11900" w:h="16830"/>
          <w:pgMar w:top="2098" w:right="1474" w:bottom="1984" w:left="1587" w:header="0" w:footer="849" w:gutter="0"/>
          <w:pgNumType w:fmt="decimal"/>
          <w:cols w:space="720" w:num="1"/>
        </w:sectPr>
      </w:pPr>
      <w:r>
        <w:t>湖南省大中专学校学生信息咨询与就业指导中心202</w:t>
      </w:r>
      <w:r>
        <w:rPr>
          <w:rFonts w:hint="eastAsia"/>
          <w:lang w:val="en-US" w:eastAsia="zh-CN"/>
        </w:rPr>
        <w:t>1</w:t>
      </w:r>
      <w:r>
        <w:t>年部门决算汇总公开单位构成包括：湖南省大中专学校学生信息咨询与就业指导中心单位本级</w:t>
      </w:r>
      <w:r>
        <w:rPr>
          <w:rFonts w:hint="eastAsia"/>
          <w:lang w:eastAsia="zh-CN"/>
        </w:rPr>
        <w:t>。</w:t>
      </w:r>
    </w:p>
    <w:p w14:paraId="57DE085F">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2C2BBAD9">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27AA466A">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1F5A8051">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580CE7E1">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09511CE9">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055BC883">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2BFB1A42">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02C5FDE9">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7A9D8755">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2E2A2986">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0442CF40">
      <w:pPr>
        <w:pStyle w:val="15"/>
        <w:rPr>
          <w:sz w:val="72"/>
          <w:szCs w:val="72"/>
        </w:rPr>
      </w:pPr>
    </w:p>
    <w:p w14:paraId="3E3B89CB">
      <w:pPr>
        <w:pStyle w:val="15"/>
        <w:rPr>
          <w:sz w:val="72"/>
          <w:szCs w:val="72"/>
        </w:rPr>
      </w:pPr>
    </w:p>
    <w:p w14:paraId="37CF2A01">
      <w:pPr>
        <w:pStyle w:val="15"/>
        <w:rPr>
          <w:sz w:val="72"/>
          <w:szCs w:val="72"/>
        </w:rPr>
      </w:pPr>
    </w:p>
    <w:p w14:paraId="6D3015BE">
      <w:pPr>
        <w:pStyle w:val="15"/>
        <w:rPr>
          <w:sz w:val="72"/>
          <w:szCs w:val="72"/>
        </w:rPr>
      </w:pPr>
    </w:p>
    <w:p w14:paraId="1E5E7925">
      <w:pPr>
        <w:pStyle w:val="15"/>
        <w:jc w:val="center"/>
        <w:rPr>
          <w:sz w:val="72"/>
          <w:szCs w:val="72"/>
        </w:rPr>
      </w:pPr>
    </w:p>
    <w:p w14:paraId="55E57EC1">
      <w:pPr>
        <w:pStyle w:val="15"/>
        <w:jc w:val="center"/>
        <w:rPr>
          <w:sz w:val="72"/>
          <w:szCs w:val="72"/>
        </w:rPr>
      </w:pPr>
    </w:p>
    <w:p w14:paraId="32B9F32E">
      <w:pPr>
        <w:pStyle w:val="15"/>
        <w:jc w:val="center"/>
        <w:rPr>
          <w:rFonts w:hint="eastAsia" w:ascii="方正小标宋_GBK" w:hAnsi="方正小标宋_GBK" w:eastAsia="方正小标宋_GBK" w:cs="方正小标宋_GBK"/>
          <w:sz w:val="72"/>
          <w:szCs w:val="72"/>
        </w:rPr>
      </w:pPr>
    </w:p>
    <w:p w14:paraId="37B0D0D2">
      <w:pPr>
        <w:pStyle w:val="15"/>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31BD9460">
      <w:pPr>
        <w:pStyle w:val="15"/>
        <w:jc w:val="center"/>
        <w:rPr>
          <w:rFonts w:hint="eastAsia" w:ascii="方正小标宋_GBK" w:hAnsi="方正小标宋_GBK" w:eastAsia="方正小标宋_GBK" w:cs="方正小标宋_GBK"/>
          <w:sz w:val="70"/>
          <w:szCs w:val="70"/>
        </w:rPr>
      </w:pPr>
    </w:p>
    <w:p w14:paraId="053B38DD">
      <w:pPr>
        <w:pStyle w:val="15"/>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0552AF52">
      <w:pPr>
        <w:widowControl/>
        <w:jc w:val="left"/>
        <w:rPr>
          <w:rFonts w:ascii="宋体" w:hAnsi="宋体" w:eastAsia="宋体"/>
          <w:sz w:val="32"/>
          <w:szCs w:val="32"/>
        </w:rPr>
      </w:pPr>
      <w:r>
        <w:rPr>
          <w:rFonts w:hint="eastAsia" w:ascii="方正小标宋_GBK" w:hAnsi="方正小标宋_GBK" w:eastAsia="方正小标宋_GBK" w:cs="方正小标宋_GBK"/>
          <w:sz w:val="70"/>
          <w:szCs w:val="70"/>
        </w:rPr>
        <w:br w:type="page"/>
      </w:r>
    </w:p>
    <w:p w14:paraId="56521291">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0094E781">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年度收、支总计</w:t>
      </w:r>
      <w:r>
        <w:rPr>
          <w:rFonts w:hint="eastAsia" w:ascii="Times New Roman" w:hAnsi="Times New Roman" w:eastAsia="仿宋_GB2312"/>
          <w:sz w:val="32"/>
          <w:szCs w:val="32"/>
          <w:lang w:val="en-US" w:eastAsia="zh-CN"/>
        </w:rPr>
        <w:t>1838.62</w:t>
      </w:r>
      <w:r>
        <w:rPr>
          <w:rFonts w:hint="eastAsia" w:ascii="Times New Roman" w:hAnsi="Times New Roman" w:eastAsia="仿宋_GB2312"/>
          <w:sz w:val="32"/>
          <w:szCs w:val="32"/>
        </w:rPr>
        <w:t>万元。与上年相比，减少</w:t>
      </w:r>
      <w:r>
        <w:rPr>
          <w:rFonts w:hint="eastAsia" w:ascii="Times New Roman" w:hAnsi="Times New Roman" w:eastAsia="仿宋_GB2312"/>
          <w:sz w:val="32"/>
          <w:szCs w:val="32"/>
          <w:lang w:val="en-US" w:eastAsia="zh-CN"/>
        </w:rPr>
        <w:t>227.75</w:t>
      </w:r>
      <w:r>
        <w:rPr>
          <w:rFonts w:hint="eastAsia" w:ascii="Times New Roman" w:hAnsi="Times New Roman" w:eastAsia="仿宋_GB2312"/>
          <w:sz w:val="32"/>
          <w:szCs w:val="32"/>
        </w:rPr>
        <w:t>万元，增长减少</w:t>
      </w:r>
      <w:r>
        <w:rPr>
          <w:rFonts w:hint="eastAsia" w:ascii="Times New Roman" w:hAnsi="Times New Roman" w:eastAsia="仿宋_GB2312"/>
          <w:sz w:val="32"/>
          <w:szCs w:val="32"/>
          <w:lang w:val="en-US" w:eastAsia="zh-CN"/>
        </w:rPr>
        <w:t>11.02</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eastAsia="zh-CN"/>
        </w:rPr>
        <w:t>项目经费减少。</w:t>
      </w:r>
    </w:p>
    <w:p w14:paraId="005F7C5A">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4DE26320">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年度收入合计</w:t>
      </w:r>
      <w:r>
        <w:rPr>
          <w:rFonts w:hint="eastAsia" w:ascii="Times New Roman" w:hAnsi="Times New Roman" w:eastAsia="仿宋_GB2312"/>
          <w:sz w:val="32"/>
          <w:szCs w:val="32"/>
          <w:lang w:val="en-US" w:eastAsia="zh-CN"/>
        </w:rPr>
        <w:t>1327.11</w:t>
      </w:r>
      <w:r>
        <w:rPr>
          <w:rFonts w:hint="eastAsia" w:ascii="Times New Roman" w:hAnsi="Times New Roman" w:eastAsia="仿宋_GB2312"/>
          <w:sz w:val="32"/>
          <w:szCs w:val="32"/>
        </w:rPr>
        <w:t>万元，其中：财政拨款收入</w:t>
      </w:r>
      <w:r>
        <w:rPr>
          <w:rFonts w:hint="eastAsia" w:ascii="Times New Roman" w:hAnsi="Times New Roman" w:eastAsia="仿宋_GB2312"/>
          <w:sz w:val="32"/>
          <w:szCs w:val="32"/>
          <w:lang w:val="en-US" w:eastAsia="zh-CN"/>
        </w:rPr>
        <w:t>1316.89</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99.23</w:t>
      </w:r>
      <w:r>
        <w:rPr>
          <w:rFonts w:hint="eastAsia" w:ascii="Times New Roman" w:hAnsi="Times New Roman" w:eastAsia="仿宋_GB2312"/>
          <w:sz w:val="32"/>
          <w:szCs w:val="32"/>
        </w:rPr>
        <w:t>%；其他收入</w:t>
      </w:r>
      <w:r>
        <w:rPr>
          <w:rFonts w:hint="eastAsia" w:ascii="Times New Roman" w:hAnsi="Times New Roman" w:eastAsia="仿宋_GB2312"/>
          <w:sz w:val="32"/>
          <w:szCs w:val="32"/>
          <w:lang w:val="en-US" w:eastAsia="zh-CN"/>
        </w:rPr>
        <w:t>10.22</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0.77</w:t>
      </w:r>
      <w:r>
        <w:rPr>
          <w:rFonts w:hint="eastAsia" w:ascii="Times New Roman" w:hAnsi="Times New Roman" w:eastAsia="仿宋_GB2312"/>
          <w:sz w:val="32"/>
          <w:szCs w:val="32"/>
        </w:rPr>
        <w:t>%。</w:t>
      </w:r>
    </w:p>
    <w:p w14:paraId="5330E87D">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710D280C">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年度支出合计</w:t>
      </w:r>
      <w:r>
        <w:rPr>
          <w:rFonts w:hint="eastAsia" w:ascii="Times New Roman" w:hAnsi="Times New Roman" w:eastAsia="仿宋_GB2312"/>
          <w:sz w:val="32"/>
          <w:szCs w:val="32"/>
          <w:lang w:val="en-US" w:eastAsia="zh-CN"/>
        </w:rPr>
        <w:t>1564.21</w:t>
      </w:r>
      <w:r>
        <w:rPr>
          <w:rFonts w:hint="eastAsia" w:ascii="Times New Roman" w:hAnsi="Times New Roman" w:eastAsia="仿宋_GB2312"/>
          <w:sz w:val="32"/>
          <w:szCs w:val="32"/>
        </w:rPr>
        <w:t>万元，其中：基本支出</w:t>
      </w:r>
      <w:r>
        <w:rPr>
          <w:rFonts w:hint="eastAsia" w:ascii="Times New Roman" w:hAnsi="Times New Roman" w:eastAsia="仿宋_GB2312"/>
          <w:sz w:val="32"/>
          <w:szCs w:val="32"/>
          <w:lang w:val="en-US" w:eastAsia="zh-CN"/>
        </w:rPr>
        <w:t>541.11</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34.59</w:t>
      </w:r>
      <w:r>
        <w:rPr>
          <w:rFonts w:hint="eastAsia" w:ascii="Times New Roman" w:hAnsi="Times New Roman" w:eastAsia="仿宋_GB2312"/>
          <w:sz w:val="32"/>
          <w:szCs w:val="32"/>
        </w:rPr>
        <w:t>%；项目支出</w:t>
      </w:r>
      <w:r>
        <w:rPr>
          <w:rFonts w:hint="eastAsia" w:ascii="Times New Roman" w:hAnsi="Times New Roman" w:eastAsia="仿宋_GB2312"/>
          <w:sz w:val="32"/>
          <w:szCs w:val="32"/>
          <w:lang w:val="en-US" w:eastAsia="zh-CN"/>
        </w:rPr>
        <w:t>1023.09</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65.41</w:t>
      </w:r>
      <w:r>
        <w:rPr>
          <w:rFonts w:hint="eastAsia" w:ascii="Times New Roman" w:hAnsi="Times New Roman" w:eastAsia="仿宋_GB2312"/>
          <w:sz w:val="32"/>
          <w:szCs w:val="32"/>
        </w:rPr>
        <w:t>%。</w:t>
      </w:r>
    </w:p>
    <w:p w14:paraId="2254740C">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67C48CC6">
      <w:pPr>
        <w:pStyle w:val="15"/>
        <w:keepNext w:val="0"/>
        <w:keepLines w:val="0"/>
        <w:pageBreakBefore w:val="0"/>
        <w:widowControl w:val="0"/>
        <w:kinsoku/>
        <w:wordWrap/>
        <w:overflowPunct/>
        <w:topLinePunct w:val="0"/>
        <w:bidi w:val="0"/>
        <w:snapToGrid/>
        <w:spacing w:line="600" w:lineRule="exact"/>
        <w:textAlignment w:val="auto"/>
        <w:rPr>
          <w:rFonts w:ascii="Times New Roman" w:hAnsi="Times New Roman" w:eastAsia="仿宋_GB2312"/>
          <w:sz w:val="32"/>
          <w:szCs w:val="32"/>
        </w:rPr>
      </w:pPr>
      <w:r>
        <w:rPr>
          <w:rFonts w:hint="eastAsia" w:ascii="Times New Roman" w:hAnsi="Times New Roman" w:eastAsia="仿宋_GB2312"/>
          <w:sz w:val="32"/>
          <w:szCs w:val="32"/>
        </w:rPr>
        <w:t xml:space="preserve">    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年度财政拨款收、支总计</w:t>
      </w:r>
      <w:r>
        <w:rPr>
          <w:rFonts w:hint="eastAsia" w:ascii="Times New Roman" w:hAnsi="Times New Roman" w:eastAsia="仿宋_GB2312"/>
          <w:sz w:val="32"/>
          <w:szCs w:val="32"/>
          <w:lang w:val="en-US" w:eastAsia="zh-CN"/>
        </w:rPr>
        <w:t>1468.46</w:t>
      </w:r>
      <w:r>
        <w:rPr>
          <w:rFonts w:hint="eastAsia" w:ascii="Times New Roman" w:hAnsi="Times New Roman" w:eastAsia="仿宋_GB2312"/>
          <w:sz w:val="32"/>
          <w:szCs w:val="32"/>
        </w:rPr>
        <w:t>万元，与上年相比，减少</w:t>
      </w:r>
      <w:r>
        <w:rPr>
          <w:rFonts w:hint="eastAsia" w:ascii="Times New Roman" w:hAnsi="Times New Roman" w:eastAsia="仿宋_GB2312"/>
          <w:sz w:val="32"/>
          <w:szCs w:val="32"/>
          <w:lang w:val="en-US" w:eastAsia="zh-CN"/>
        </w:rPr>
        <w:t>5.91</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eastAsia="zh-CN"/>
        </w:rPr>
        <w:t>项目经费减少。</w:t>
      </w:r>
    </w:p>
    <w:p w14:paraId="121EAFB6">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217C4992">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（一）一般公共预算财政拨款支出决算总体情况</w:t>
      </w:r>
    </w:p>
    <w:p w14:paraId="122B267E">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1194.05</w:t>
      </w:r>
      <w:r>
        <w:rPr>
          <w:rFonts w:hint="eastAsia" w:ascii="Times New Roman" w:hAnsi="Times New Roman" w:eastAsia="仿宋_GB2312"/>
          <w:sz w:val="32"/>
          <w:szCs w:val="32"/>
        </w:rPr>
        <w:t>万元，占本年支出合计的</w:t>
      </w:r>
      <w:r>
        <w:rPr>
          <w:rFonts w:hint="eastAsia" w:ascii="Times New Roman" w:hAnsi="Times New Roman" w:eastAsia="仿宋_GB2312"/>
          <w:sz w:val="32"/>
          <w:szCs w:val="32"/>
          <w:lang w:val="en-US" w:eastAsia="zh-CN"/>
        </w:rPr>
        <w:t>76.34</w:t>
      </w:r>
      <w:r>
        <w:rPr>
          <w:rFonts w:hint="eastAsia" w:ascii="Times New Roman" w:hAnsi="Times New Roman" w:eastAsia="仿宋_GB2312"/>
          <w:sz w:val="32"/>
          <w:szCs w:val="32"/>
        </w:rPr>
        <w:t>%，与上年相比，财政拨款支出减少</w:t>
      </w:r>
      <w:r>
        <w:rPr>
          <w:rFonts w:hint="eastAsia" w:ascii="Times New Roman" w:hAnsi="Times New Roman" w:eastAsia="仿宋_GB2312"/>
          <w:sz w:val="32"/>
          <w:szCs w:val="32"/>
          <w:lang w:val="en-US" w:eastAsia="zh-CN"/>
        </w:rPr>
        <w:t>106.69</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8.20</w:t>
      </w:r>
      <w:r>
        <w:rPr>
          <w:rFonts w:hint="eastAsia" w:ascii="Times New Roman" w:hAnsi="Times New Roman" w:eastAsia="仿宋_GB2312"/>
          <w:sz w:val="32"/>
          <w:szCs w:val="32"/>
        </w:rPr>
        <w:t>%，主要是因为为</w:t>
      </w:r>
      <w:r>
        <w:rPr>
          <w:rFonts w:hint="eastAsia" w:ascii="Times New Roman" w:hAnsi="Times New Roman" w:eastAsia="仿宋_GB2312"/>
          <w:sz w:val="32"/>
          <w:szCs w:val="32"/>
          <w:lang w:eastAsia="zh-CN"/>
        </w:rPr>
        <w:t>项目经费减少。</w:t>
      </w:r>
    </w:p>
    <w:p w14:paraId="044F87CB">
      <w:pPr>
        <w:pStyle w:val="15"/>
        <w:keepNext w:val="0"/>
        <w:keepLines w:val="0"/>
        <w:pageBreakBefore w:val="0"/>
        <w:widowControl w:val="0"/>
        <w:kinsoku/>
        <w:wordWrap/>
        <w:overflowPunct/>
        <w:topLinePunct w:val="0"/>
        <w:bidi w:val="0"/>
        <w:snapToGrid/>
        <w:spacing w:line="600" w:lineRule="exact"/>
        <w:ind w:firstLine="480" w:firstLineChars="1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（二）一般公共预算财政拨款支出决算结构情况</w:t>
      </w:r>
    </w:p>
    <w:p w14:paraId="602EA944">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1194.05</w:t>
      </w:r>
      <w:r>
        <w:rPr>
          <w:rFonts w:hint="eastAsia" w:ascii="Times New Roman" w:hAnsi="Times New Roman" w:eastAsia="仿宋_GB2312"/>
          <w:sz w:val="32"/>
          <w:szCs w:val="32"/>
        </w:rPr>
        <w:t>万元，主要用于以下方面：一般公共服务</w:t>
      </w:r>
      <w:r>
        <w:rPr>
          <w:rFonts w:hint="eastAsia" w:ascii="Times New Roman" w:hAnsi="Times New Roman" w:eastAsia="仿宋_GB2312"/>
          <w:sz w:val="32"/>
          <w:szCs w:val="32"/>
          <w:lang w:eastAsia="zh-CN"/>
        </w:rPr>
        <w:t>行政运行类</w:t>
      </w:r>
      <w:r>
        <w:rPr>
          <w:rFonts w:hint="eastAsia" w:ascii="Times New Roman" w:hAnsi="Times New Roman" w:eastAsia="仿宋_GB2312"/>
          <w:sz w:val="32"/>
          <w:szCs w:val="32"/>
        </w:rPr>
        <w:t>支出</w:t>
      </w:r>
      <w:r>
        <w:rPr>
          <w:rFonts w:hint="eastAsia" w:ascii="Times New Roman" w:hAnsi="Times New Roman" w:eastAsia="仿宋_GB2312"/>
          <w:sz w:val="32"/>
          <w:szCs w:val="32"/>
          <w:lang w:val="en-US" w:eastAsia="zh-CN"/>
        </w:rPr>
        <w:t>19.08</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1.59</w:t>
      </w:r>
      <w:r>
        <w:rPr>
          <w:rFonts w:hint="eastAsia" w:ascii="Times New Roman" w:hAnsi="Times New Roman" w:eastAsia="仿宋_GB2312"/>
          <w:sz w:val="32"/>
          <w:szCs w:val="32"/>
        </w:rPr>
        <w:t>%；教育（类）支出</w:t>
      </w:r>
      <w:r>
        <w:rPr>
          <w:rFonts w:hint="eastAsia" w:ascii="Times New Roman" w:hAnsi="Times New Roman" w:eastAsia="仿宋_GB2312"/>
          <w:sz w:val="32"/>
          <w:szCs w:val="32"/>
          <w:lang w:val="en-US" w:eastAsia="zh-CN"/>
        </w:rPr>
        <w:t>1174.25</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98.41</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14:paraId="78FBE8CB">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（三）一般公共预算财政拨款支出决算具体情况</w:t>
      </w:r>
    </w:p>
    <w:p w14:paraId="6CD3D585">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年度财政拨款支出年初预算数为</w:t>
      </w:r>
      <w:r>
        <w:rPr>
          <w:rFonts w:hint="eastAsia" w:ascii="Times New Roman" w:hAnsi="Times New Roman" w:eastAsia="仿宋_GB2312"/>
          <w:sz w:val="32"/>
          <w:szCs w:val="32"/>
          <w:lang w:val="en-US" w:eastAsia="zh-CN"/>
        </w:rPr>
        <w:t>1344.6</w:t>
      </w:r>
      <w:r>
        <w:rPr>
          <w:rFonts w:hint="eastAsia" w:ascii="Times New Roman" w:hAnsi="Times New Roman" w:eastAsia="仿宋_GB2312"/>
          <w:sz w:val="32"/>
          <w:szCs w:val="32"/>
        </w:rPr>
        <w:t>万元，支出决算数为</w:t>
      </w:r>
      <w:r>
        <w:rPr>
          <w:rFonts w:hint="eastAsia" w:ascii="Times New Roman" w:hAnsi="Times New Roman" w:eastAsia="仿宋_GB2312"/>
          <w:sz w:val="32"/>
          <w:szCs w:val="32"/>
          <w:lang w:val="en-US" w:eastAsia="zh-CN"/>
        </w:rPr>
        <w:t>1194.05</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88.8</w:t>
      </w:r>
      <w:r>
        <w:rPr>
          <w:rFonts w:hint="eastAsia" w:ascii="Times New Roman" w:hAnsi="Times New Roman" w:eastAsia="仿宋_GB2312"/>
          <w:sz w:val="32"/>
          <w:szCs w:val="32"/>
        </w:rPr>
        <w:t>%，其中：</w:t>
      </w:r>
    </w:p>
    <w:p w14:paraId="5FD0F806">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1、一般公共服务</w:t>
      </w:r>
      <w:r>
        <w:rPr>
          <w:rFonts w:hint="eastAsia" w:ascii="Times New Roman" w:hAnsi="Times New Roman" w:eastAsia="仿宋_GB2312"/>
          <w:sz w:val="32"/>
          <w:szCs w:val="32"/>
          <w:lang w:eastAsia="zh-CN"/>
        </w:rPr>
        <w:t>行政运行类</w:t>
      </w:r>
      <w:r>
        <w:rPr>
          <w:rFonts w:hint="eastAsia" w:ascii="Times New Roman" w:hAnsi="Times New Roman" w:eastAsia="仿宋_GB2312"/>
          <w:sz w:val="32"/>
          <w:szCs w:val="32"/>
        </w:rPr>
        <w:t>。</w:t>
      </w:r>
    </w:p>
    <w:p w14:paraId="35ED2475">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19.8</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19.8</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14:paraId="1E6A9DE2">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2、一般公共服务</w:t>
      </w:r>
      <w:r>
        <w:rPr>
          <w:rFonts w:hint="eastAsia" w:ascii="Times New Roman" w:hAnsi="Times New Roman" w:eastAsia="仿宋_GB2312"/>
          <w:sz w:val="32"/>
          <w:szCs w:val="32"/>
          <w:lang w:eastAsia="zh-CN"/>
        </w:rPr>
        <w:t>其他普通教育支出类</w:t>
      </w:r>
      <w:r>
        <w:rPr>
          <w:rFonts w:hint="eastAsia" w:ascii="Times New Roman" w:hAnsi="Times New Roman" w:eastAsia="仿宋_GB2312"/>
          <w:sz w:val="32"/>
          <w:szCs w:val="32"/>
        </w:rPr>
        <w:t>。</w:t>
      </w:r>
    </w:p>
    <w:p w14:paraId="409BCEBF">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1324.8</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1194.05</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90.13</w:t>
      </w:r>
      <w:r>
        <w:rPr>
          <w:rFonts w:hint="eastAsia" w:ascii="Times New Roman" w:hAnsi="Times New Roman" w:eastAsia="仿宋_GB2312"/>
          <w:sz w:val="32"/>
          <w:szCs w:val="32"/>
        </w:rPr>
        <w:t>%，决算数小于年初预算数的主要原因是：</w:t>
      </w:r>
      <w:r>
        <w:rPr>
          <w:rFonts w:hint="eastAsia" w:ascii="Times New Roman" w:hAnsi="Times New Roman" w:eastAsia="仿宋_GB2312"/>
          <w:sz w:val="32"/>
          <w:szCs w:val="32"/>
          <w:lang w:eastAsia="zh-CN"/>
        </w:rPr>
        <w:t>部分项目需跨年完成。</w:t>
      </w:r>
    </w:p>
    <w:p w14:paraId="7DC750D4">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72631C6C">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年度财政拨款基本支出</w:t>
      </w:r>
      <w:r>
        <w:rPr>
          <w:rFonts w:hint="eastAsia" w:ascii="Times New Roman" w:hAnsi="Times New Roman" w:eastAsia="仿宋_GB2312"/>
          <w:sz w:val="32"/>
          <w:szCs w:val="32"/>
          <w:lang w:val="en-US" w:eastAsia="zh-CN"/>
        </w:rPr>
        <w:t>340.71</w:t>
      </w:r>
      <w:r>
        <w:rPr>
          <w:rFonts w:hint="eastAsia" w:ascii="Times New Roman" w:hAnsi="Times New Roman" w:eastAsia="仿宋_GB2312"/>
          <w:sz w:val="32"/>
          <w:szCs w:val="32"/>
        </w:rPr>
        <w:t>万元，其中：</w:t>
      </w:r>
    </w:p>
    <w:p w14:paraId="088A77E4">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人员经费</w:t>
      </w:r>
      <w:r>
        <w:rPr>
          <w:rFonts w:hint="eastAsia" w:ascii="Times New Roman" w:hAnsi="Times New Roman" w:eastAsia="仿宋_GB2312"/>
          <w:sz w:val="32"/>
          <w:szCs w:val="32"/>
          <w:lang w:val="en-US" w:eastAsia="zh-CN"/>
        </w:rPr>
        <w:t>251.89</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73.93</w:t>
      </w:r>
      <w:r>
        <w:rPr>
          <w:rFonts w:hint="eastAsia" w:ascii="Times New Roman" w:hAnsi="Times New Roman" w:eastAsia="仿宋_GB2312"/>
          <w:sz w:val="32"/>
          <w:szCs w:val="32"/>
        </w:rPr>
        <w:t>%,主要包括基本工资、津贴补贴、奖金、绩效工资、机关事业单位基本养老保险缴费、职工基本医疗保险缴费、其他社会保障缴费、住房公积金、其他工资福利支出</w:t>
      </w:r>
      <w:r>
        <w:rPr>
          <w:rFonts w:hint="eastAsia" w:ascii="Times New Roman" w:hAnsi="Times New Roman" w:eastAsia="仿宋_GB2312"/>
          <w:sz w:val="32"/>
          <w:szCs w:val="32"/>
          <w:lang w:eastAsia="zh-CN"/>
        </w:rPr>
        <w:t>。</w:t>
      </w:r>
    </w:p>
    <w:p w14:paraId="1BB9FE67">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公用经费</w:t>
      </w:r>
      <w:r>
        <w:rPr>
          <w:rFonts w:hint="eastAsia" w:ascii="Times New Roman" w:hAnsi="Times New Roman" w:eastAsia="仿宋_GB2312"/>
          <w:sz w:val="32"/>
          <w:szCs w:val="32"/>
          <w:lang w:val="en-US" w:eastAsia="zh-CN"/>
        </w:rPr>
        <w:t>88.82</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26.07</w:t>
      </w:r>
      <w:r>
        <w:rPr>
          <w:rFonts w:hint="eastAsia" w:ascii="Times New Roman" w:hAnsi="Times New Roman" w:eastAsia="仿宋_GB2312"/>
          <w:sz w:val="32"/>
          <w:szCs w:val="32"/>
        </w:rPr>
        <w:t>%，主要包括办公费、印刷费、</w:t>
      </w:r>
      <w:r>
        <w:rPr>
          <w:rFonts w:hint="eastAsia" w:ascii="Times New Roman" w:hAnsi="Times New Roman" w:eastAsia="仿宋_GB2312"/>
          <w:sz w:val="32"/>
          <w:szCs w:val="32"/>
          <w:lang w:eastAsia="zh-CN"/>
        </w:rPr>
        <w:t>物业管理</w:t>
      </w:r>
      <w:r>
        <w:rPr>
          <w:rFonts w:hint="eastAsia" w:ascii="Times New Roman" w:hAnsi="Times New Roman" w:eastAsia="仿宋_GB2312"/>
          <w:sz w:val="32"/>
          <w:szCs w:val="32"/>
        </w:rPr>
        <w:t>费、手续费</w:t>
      </w:r>
      <w:r>
        <w:rPr>
          <w:rFonts w:hint="eastAsia" w:ascii="Times New Roman" w:hAnsi="Times New Roman" w:eastAsia="仿宋_GB2312"/>
          <w:sz w:val="32"/>
          <w:szCs w:val="32"/>
          <w:lang w:eastAsia="zh-CN"/>
        </w:rPr>
        <w:t>、邮寄费、水电费、维护费等。</w:t>
      </w:r>
    </w:p>
    <w:p w14:paraId="211E7A07">
      <w:pPr>
        <w:pStyle w:val="15"/>
        <w:keepNext w:val="0"/>
        <w:keepLines w:val="0"/>
        <w:pageBreakBefore w:val="0"/>
        <w:widowControl w:val="0"/>
        <w:numPr>
          <w:ilvl w:val="0"/>
          <w:numId w:val="2"/>
        </w:numPr>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财政拨款三公经费支出决算情况说明</w:t>
      </w:r>
    </w:p>
    <w:p w14:paraId="7EFBAD54">
      <w:pPr>
        <w:pStyle w:val="15"/>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2CC82D5F">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“三公”经费财政拨款支出预算为</w:t>
      </w:r>
      <w:r>
        <w:rPr>
          <w:rFonts w:hint="eastAsia" w:ascii="Times New Roman" w:hAnsi="Times New Roman" w:eastAsia="仿宋_GB2312"/>
          <w:sz w:val="32"/>
          <w:szCs w:val="32"/>
          <w:lang w:val="en-US" w:eastAsia="zh-CN"/>
        </w:rPr>
        <w:t>0.5</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0.29</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58</w:t>
      </w:r>
      <w:r>
        <w:rPr>
          <w:rFonts w:hint="eastAsia" w:ascii="Times New Roman" w:hAnsi="Times New Roman" w:eastAsia="仿宋_GB2312"/>
          <w:sz w:val="32"/>
          <w:szCs w:val="32"/>
        </w:rPr>
        <w:t>%，决算数小于预算数的主要原因从严控制“三公”经费开支，全年实际支出比预算有所节约</w:t>
      </w:r>
      <w:r>
        <w:rPr>
          <w:rFonts w:hint="default" w:ascii="Times New Roman" w:hAnsi="Times New Roman" w:eastAsia="仿宋_GB2312"/>
          <w:sz w:val="32"/>
          <w:szCs w:val="32"/>
        </w:rPr>
        <w:t>。</w:t>
      </w:r>
      <w:r>
        <w:rPr>
          <w:rFonts w:hint="eastAsia" w:ascii="Times New Roman" w:hAnsi="Times New Roman" w:eastAsia="仿宋_GB2312"/>
          <w:sz w:val="32"/>
          <w:szCs w:val="32"/>
        </w:rPr>
        <w:t>与上年相比增加</w:t>
      </w:r>
      <w:r>
        <w:rPr>
          <w:rFonts w:hint="eastAsia" w:ascii="Times New Roman" w:hAnsi="Times New Roman" w:eastAsia="仿宋_GB2312"/>
          <w:sz w:val="32"/>
          <w:szCs w:val="32"/>
          <w:lang w:val="en-US" w:eastAsia="zh-CN"/>
        </w:rPr>
        <w:t>0.13</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81.25</w:t>
      </w:r>
      <w:r>
        <w:rPr>
          <w:rFonts w:hint="eastAsia" w:ascii="Times New Roman" w:hAnsi="Times New Roman" w:eastAsia="仿宋_GB2312"/>
          <w:sz w:val="32"/>
          <w:szCs w:val="32"/>
        </w:rPr>
        <w:t>%,增长的主要原因是</w:t>
      </w:r>
      <w:r>
        <w:rPr>
          <w:rFonts w:hint="eastAsia" w:ascii="Times New Roman" w:hAnsi="Times New Roman" w:eastAsia="仿宋_GB2312"/>
          <w:sz w:val="32"/>
          <w:szCs w:val="32"/>
          <w:lang w:eastAsia="zh-CN"/>
        </w:rPr>
        <w:t>外省单位来湘调研人数增加，导致招待费增加</w:t>
      </w:r>
      <w:r>
        <w:rPr>
          <w:rFonts w:hint="eastAsia" w:ascii="Times New Roman" w:hAnsi="Times New Roman" w:eastAsia="仿宋_GB2312"/>
          <w:sz w:val="32"/>
          <w:szCs w:val="32"/>
        </w:rPr>
        <w:t>。其中：</w:t>
      </w:r>
    </w:p>
    <w:p w14:paraId="7BF8A81A">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因公出国（境）费支出预算为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p>
    <w:p w14:paraId="70715D23">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公务接待费支出预算为</w:t>
      </w:r>
      <w:r>
        <w:rPr>
          <w:rFonts w:hint="eastAsia" w:ascii="Times New Roman" w:hAnsi="Times New Roman" w:eastAsia="仿宋_GB2312"/>
          <w:sz w:val="32"/>
          <w:szCs w:val="32"/>
          <w:lang w:val="en-US" w:eastAsia="zh-CN"/>
        </w:rPr>
        <w:t>0.5</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0.29</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58</w:t>
      </w:r>
      <w:r>
        <w:rPr>
          <w:rFonts w:hint="eastAsia" w:ascii="Times New Roman" w:hAnsi="Times New Roman" w:eastAsia="仿宋_GB2312"/>
          <w:sz w:val="32"/>
          <w:szCs w:val="32"/>
        </w:rPr>
        <w:t>%，决算数小于预算数的主要原因从严控制“三公”经费开支，全年实际支出比预算有所节约</w:t>
      </w:r>
      <w:r>
        <w:rPr>
          <w:rFonts w:hint="default" w:ascii="Times New Roman" w:hAnsi="Times New Roman" w:eastAsia="仿宋_GB2312"/>
          <w:sz w:val="32"/>
          <w:szCs w:val="32"/>
        </w:rPr>
        <w:t>。</w:t>
      </w:r>
      <w:r>
        <w:rPr>
          <w:rFonts w:hint="eastAsia" w:ascii="Times New Roman" w:hAnsi="Times New Roman" w:eastAsia="仿宋_GB2312"/>
          <w:sz w:val="32"/>
          <w:szCs w:val="32"/>
        </w:rPr>
        <w:t>与上年相比增加</w:t>
      </w:r>
      <w:r>
        <w:rPr>
          <w:rFonts w:hint="eastAsia" w:ascii="Times New Roman" w:hAnsi="Times New Roman" w:eastAsia="仿宋_GB2312"/>
          <w:sz w:val="32"/>
          <w:szCs w:val="32"/>
          <w:lang w:val="en-US" w:eastAsia="zh-CN"/>
        </w:rPr>
        <w:t>0.13</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81.25</w:t>
      </w:r>
      <w:r>
        <w:rPr>
          <w:rFonts w:hint="eastAsia" w:ascii="Times New Roman" w:hAnsi="Times New Roman" w:eastAsia="仿宋_GB2312"/>
          <w:sz w:val="32"/>
          <w:szCs w:val="32"/>
        </w:rPr>
        <w:t>%,增长的主要原因是</w:t>
      </w:r>
      <w:r>
        <w:rPr>
          <w:rFonts w:hint="eastAsia" w:ascii="Times New Roman" w:hAnsi="Times New Roman" w:eastAsia="仿宋_GB2312"/>
          <w:sz w:val="32"/>
          <w:szCs w:val="32"/>
          <w:lang w:eastAsia="zh-CN"/>
        </w:rPr>
        <w:t>外省单位来湘调研人数增加</w:t>
      </w:r>
      <w:r>
        <w:rPr>
          <w:rFonts w:hint="eastAsia" w:ascii="Times New Roman" w:hAnsi="Times New Roman" w:eastAsia="仿宋_GB2312"/>
          <w:sz w:val="32"/>
          <w:szCs w:val="32"/>
        </w:rPr>
        <w:t>。</w:t>
      </w:r>
    </w:p>
    <w:p w14:paraId="35F509F4">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公务用车购置费支出预算为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p>
    <w:p w14:paraId="04D12799">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公务用车运行维护费支出预算为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p>
    <w:p w14:paraId="2BCBADA0">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32C1DF6C">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年度“三公”经费财政拨款支出决算中，公务接待费支出决算</w:t>
      </w:r>
      <w:r>
        <w:rPr>
          <w:rFonts w:hint="eastAsia" w:ascii="Times New Roman" w:hAnsi="Times New Roman" w:eastAsia="仿宋_GB2312"/>
          <w:sz w:val="32"/>
          <w:szCs w:val="32"/>
          <w:lang w:val="en-US" w:eastAsia="zh-CN"/>
        </w:rPr>
        <w:t>0.29</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%,因公出国（境）费支出决算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%,公务用车购置费及运行维护费支出决算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%。其中：</w:t>
      </w:r>
    </w:p>
    <w:p w14:paraId="195A90C8">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仿宋_GB2312" w:cs="楷体"/>
          <w:b/>
          <w:bCs/>
          <w:i/>
          <w:color w:val="auto"/>
          <w:sz w:val="32"/>
          <w:szCs w:val="32"/>
          <w:lang w:val="en-US" w:eastAsia="zh-CN"/>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因公出国（境）费支出决算为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p>
    <w:p w14:paraId="1E972237">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2、公务接待费支出决算为</w:t>
      </w:r>
      <w:r>
        <w:rPr>
          <w:rFonts w:hint="eastAsia" w:ascii="Times New Roman" w:hAnsi="Times New Roman" w:eastAsia="仿宋_GB2312"/>
          <w:sz w:val="32"/>
          <w:szCs w:val="32"/>
          <w:lang w:val="en-US" w:eastAsia="zh-CN"/>
        </w:rPr>
        <w:t>0.29</w:t>
      </w:r>
      <w:r>
        <w:rPr>
          <w:rFonts w:hint="eastAsia" w:ascii="Times New Roman" w:hAnsi="Times New Roman" w:eastAsia="仿宋_GB2312"/>
          <w:sz w:val="32"/>
          <w:szCs w:val="32"/>
        </w:rPr>
        <w:t>万元，全年共接待来访团组</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个、来宾</w:t>
      </w:r>
      <w:r>
        <w:rPr>
          <w:rFonts w:hint="eastAsia" w:ascii="Times New Roman" w:hAnsi="Times New Roman" w:eastAsia="仿宋_GB2312"/>
          <w:sz w:val="32"/>
          <w:szCs w:val="32"/>
          <w:lang w:val="en-US" w:eastAsia="zh-CN"/>
        </w:rPr>
        <w:t>18</w:t>
      </w:r>
      <w:r>
        <w:rPr>
          <w:rFonts w:hint="eastAsia" w:ascii="Times New Roman" w:hAnsi="Times New Roman" w:eastAsia="仿宋_GB2312"/>
          <w:sz w:val="32"/>
          <w:szCs w:val="32"/>
        </w:rPr>
        <w:t>人次，主要是</w:t>
      </w:r>
      <w:r>
        <w:rPr>
          <w:rFonts w:hint="eastAsia" w:ascii="Times New Roman" w:hAnsi="Times New Roman" w:eastAsia="仿宋_GB2312"/>
          <w:sz w:val="32"/>
          <w:szCs w:val="32"/>
          <w:lang w:eastAsia="zh-CN"/>
        </w:rPr>
        <w:t>接待外省单位来湘调研</w:t>
      </w:r>
      <w:r>
        <w:rPr>
          <w:rFonts w:hint="eastAsia" w:ascii="Times New Roman" w:hAnsi="Times New Roman" w:eastAsia="仿宋_GB2312"/>
          <w:sz w:val="32"/>
          <w:szCs w:val="32"/>
        </w:rPr>
        <w:t>发生的接待支出。</w:t>
      </w:r>
    </w:p>
    <w:p w14:paraId="6FA51E18">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3、公务用车购置费及运行维护费支出决算为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万元，其中：公务用车购置费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color w:val="000000"/>
          <w:sz w:val="32"/>
          <w:szCs w:val="32"/>
        </w:rPr>
        <w:t>。</w:t>
      </w:r>
      <w:r>
        <w:rPr>
          <w:rFonts w:hint="eastAsia" w:ascii="Times New Roman" w:hAnsi="Times New Roman" w:eastAsia="仿宋_GB2312"/>
          <w:sz w:val="32"/>
          <w:szCs w:val="32"/>
        </w:rPr>
        <w:t>公务用车运行维护费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万元，截止202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年12月31日，我单位开支财政拨款的公务用车保有量为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p>
    <w:p w14:paraId="60F4E067">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八、政府性基金预算收入支出决算情况</w:t>
      </w:r>
    </w:p>
    <w:p w14:paraId="58F48ECC">
      <w:pPr>
        <w:pStyle w:val="15"/>
        <w:keepNext w:val="0"/>
        <w:keepLines w:val="0"/>
        <w:pageBreakBefore w:val="0"/>
        <w:widowControl w:val="0"/>
        <w:kinsoku/>
        <w:wordWrap/>
        <w:overflowPunct/>
        <w:topLinePunct w:val="0"/>
        <w:bidi w:val="0"/>
        <w:snapToGrid/>
        <w:spacing w:line="600" w:lineRule="exact"/>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 xml:space="preserve">     </w:t>
      </w:r>
      <w:r>
        <w:rPr>
          <w:rFonts w:hint="eastAsia" w:ascii="Times New Roman" w:hAnsi="Times New Roman" w:eastAsia="仿宋_GB2312"/>
          <w:sz w:val="32"/>
          <w:szCs w:val="32"/>
          <w:lang w:val="en-US" w:eastAsia="zh-CN"/>
        </w:rPr>
        <w:t>本单位无政府性基金收支</w:t>
      </w:r>
    </w:p>
    <w:p w14:paraId="044CA57E">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rPr>
        <w:t>九、关于机关运行经费支出说明</w:t>
      </w:r>
    </w:p>
    <w:p w14:paraId="60C3562D">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年度机关运行经费支出</w:t>
      </w:r>
      <w:r>
        <w:rPr>
          <w:rFonts w:hint="eastAsia" w:ascii="Times New Roman" w:hAnsi="Times New Roman" w:eastAsia="仿宋_GB2312"/>
          <w:sz w:val="32"/>
          <w:szCs w:val="32"/>
          <w:lang w:val="en-US" w:eastAsia="zh-CN"/>
        </w:rPr>
        <w:t>88.82</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比</w:t>
      </w:r>
      <w:r>
        <w:rPr>
          <w:rFonts w:hint="eastAsia" w:ascii="Times New Roman" w:hAnsi="Times New Roman" w:eastAsia="仿宋_GB2312"/>
          <w:sz w:val="32"/>
          <w:szCs w:val="32"/>
        </w:rPr>
        <w:t>上年决算数减少</w:t>
      </w:r>
      <w:r>
        <w:rPr>
          <w:rFonts w:hint="eastAsia" w:ascii="Times New Roman" w:hAnsi="Times New Roman" w:eastAsia="仿宋_GB2312"/>
          <w:sz w:val="32"/>
          <w:szCs w:val="32"/>
          <w:lang w:val="en-US" w:eastAsia="zh-CN"/>
        </w:rPr>
        <w:t>0.2</w:t>
      </w:r>
      <w:r>
        <w:rPr>
          <w:rFonts w:hint="eastAsia" w:ascii="Times New Roman" w:hAnsi="Times New Roman" w:eastAsia="仿宋_GB2312"/>
          <w:sz w:val="32"/>
          <w:szCs w:val="32"/>
        </w:rPr>
        <w:t xml:space="preserve"> 万元，降低</w:t>
      </w:r>
      <w:r>
        <w:rPr>
          <w:rFonts w:hint="eastAsia" w:ascii="Times New Roman" w:hAnsi="Times New Roman" w:eastAsia="仿宋_GB2312"/>
          <w:sz w:val="32"/>
          <w:szCs w:val="32"/>
          <w:lang w:val="en-US" w:eastAsia="zh-CN"/>
        </w:rPr>
        <w:t>2.2</w:t>
      </w:r>
      <w:r>
        <w:rPr>
          <w:rFonts w:hint="eastAsia" w:ascii="Times New Roman" w:hAnsi="Times New Roman" w:eastAsia="仿宋_GB2312"/>
          <w:sz w:val="32"/>
          <w:szCs w:val="32"/>
        </w:rPr>
        <w:t>%。主要原因是：</w:t>
      </w:r>
      <w:r>
        <w:rPr>
          <w:rFonts w:hint="eastAsia" w:ascii="Times New Roman" w:hAnsi="Times New Roman" w:eastAsia="仿宋_GB2312"/>
          <w:sz w:val="32"/>
          <w:szCs w:val="32"/>
          <w:lang w:eastAsia="zh-CN"/>
        </w:rPr>
        <w:t>压缩一般支出导致。</w:t>
      </w:r>
    </w:p>
    <w:p w14:paraId="71AE8166">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十、一般性支出情况说明</w:t>
      </w:r>
    </w:p>
    <w:p w14:paraId="27A0E416">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年本部门开支培训费</w:t>
      </w:r>
      <w:r>
        <w:rPr>
          <w:rFonts w:hint="eastAsia" w:ascii="Times New Roman" w:hAnsi="Times New Roman" w:eastAsia="仿宋_GB2312"/>
          <w:sz w:val="32"/>
          <w:szCs w:val="32"/>
          <w:lang w:val="en-US" w:eastAsia="zh-CN"/>
        </w:rPr>
        <w:t>29.67</w:t>
      </w:r>
      <w:r>
        <w:rPr>
          <w:rFonts w:hint="eastAsia" w:ascii="Times New Roman" w:hAnsi="Times New Roman" w:eastAsia="仿宋_GB2312"/>
          <w:sz w:val="32"/>
          <w:szCs w:val="32"/>
        </w:rPr>
        <w:t>万元，用于开展高校职业规划与就业指导师资培训，人数</w:t>
      </w:r>
      <w:r>
        <w:rPr>
          <w:rFonts w:hint="eastAsia" w:ascii="Times New Roman" w:hAnsi="Times New Roman" w:eastAsia="仿宋_GB2312"/>
          <w:sz w:val="32"/>
          <w:szCs w:val="32"/>
          <w:lang w:val="en-US" w:eastAsia="zh-CN"/>
        </w:rPr>
        <w:t>2000</w:t>
      </w:r>
      <w:r>
        <w:rPr>
          <w:rFonts w:hint="eastAsia" w:ascii="Times New Roman" w:hAnsi="Times New Roman" w:eastAsia="仿宋_GB2312"/>
          <w:sz w:val="32"/>
          <w:szCs w:val="32"/>
        </w:rPr>
        <w:t>人，内容</w:t>
      </w:r>
      <w:r>
        <w:rPr>
          <w:rFonts w:hint="eastAsia" w:ascii="Times New Roman" w:hAnsi="Times New Roman" w:eastAsia="仿宋_GB2312"/>
          <w:sz w:val="32"/>
          <w:szCs w:val="32"/>
          <w:lang w:eastAsia="zh-CN"/>
        </w:rPr>
        <w:t>为</w:t>
      </w:r>
      <w:r>
        <w:rPr>
          <w:rFonts w:hint="eastAsia" w:ascii="Times New Roman" w:hAnsi="Times New Roman" w:eastAsia="仿宋_GB2312"/>
          <w:sz w:val="32"/>
          <w:szCs w:val="32"/>
        </w:rPr>
        <w:t>就业形势与校园招聘、就业指导服务体系建设、就业指导课程设计以及实践、高校毕业生就业创业现状和建议、辅导员就业指导案例、生涯规划与就业指导体系建设、高校毕业生就业监测工作要求等</w:t>
      </w:r>
      <w:r>
        <w:rPr>
          <w:rFonts w:hint="eastAsia" w:ascii="Times New Roman" w:hAnsi="Times New Roman" w:eastAsia="仿宋_GB2312"/>
          <w:sz w:val="32"/>
          <w:szCs w:val="32"/>
          <w:lang w:eastAsia="zh-CN"/>
        </w:rPr>
        <w:t>。</w:t>
      </w:r>
    </w:p>
    <w:p w14:paraId="3F4616EA">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十一、关于政府采购支出说明</w:t>
      </w:r>
    </w:p>
    <w:p w14:paraId="4FFB0677">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Times New Roman" w:hAnsi="Times New Roman" w:eastAsia="仿宋_GB2312"/>
          <w:color w:val="auto"/>
          <w:sz w:val="32"/>
          <w:szCs w:val="32"/>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年度政府采购支出总额</w:t>
      </w:r>
      <w:r>
        <w:rPr>
          <w:rFonts w:hint="eastAsia" w:ascii="Times New Roman" w:hAnsi="Times New Roman" w:eastAsia="仿宋_GB2312"/>
          <w:sz w:val="32"/>
          <w:szCs w:val="32"/>
          <w:lang w:val="en-US" w:eastAsia="zh-CN"/>
        </w:rPr>
        <w:t>138.59</w:t>
      </w:r>
      <w:r>
        <w:rPr>
          <w:rFonts w:hint="eastAsia" w:ascii="Times New Roman" w:hAnsi="Times New Roman" w:eastAsia="仿宋_GB2312"/>
          <w:sz w:val="32"/>
          <w:szCs w:val="32"/>
        </w:rPr>
        <w:t>万元，其中：政府采购货物支出</w:t>
      </w:r>
      <w:r>
        <w:rPr>
          <w:rFonts w:hint="eastAsia" w:ascii="Times New Roman" w:hAnsi="Times New Roman" w:eastAsia="仿宋_GB2312"/>
          <w:sz w:val="32"/>
          <w:szCs w:val="32"/>
          <w:lang w:val="en-US" w:eastAsia="zh-CN"/>
        </w:rPr>
        <w:t>33.61</w:t>
      </w:r>
      <w:r>
        <w:rPr>
          <w:rFonts w:hint="eastAsia" w:ascii="Times New Roman" w:hAnsi="Times New Roman" w:eastAsia="仿宋_GB2312"/>
          <w:sz w:val="32"/>
          <w:szCs w:val="32"/>
        </w:rPr>
        <w:t>万元、政府采购工程支出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万元、政府采购服务支出</w:t>
      </w:r>
      <w:r>
        <w:rPr>
          <w:rFonts w:hint="eastAsia" w:ascii="Times New Roman" w:hAnsi="Times New Roman" w:eastAsia="仿宋_GB2312"/>
          <w:sz w:val="32"/>
          <w:szCs w:val="32"/>
          <w:lang w:val="en-US" w:eastAsia="zh-CN"/>
        </w:rPr>
        <w:t>104.98</w:t>
      </w:r>
      <w:r>
        <w:rPr>
          <w:rFonts w:hint="eastAsia" w:ascii="Times New Roman" w:hAnsi="Times New Roman" w:eastAsia="仿宋_GB2312"/>
          <w:sz w:val="32"/>
          <w:szCs w:val="32"/>
        </w:rPr>
        <w:t>万元。授予中小企业合同金额</w:t>
      </w:r>
      <w:r>
        <w:rPr>
          <w:rFonts w:hint="eastAsia" w:ascii="Times New Roman" w:hAnsi="Times New Roman" w:eastAsia="仿宋_GB2312"/>
          <w:sz w:val="32"/>
          <w:szCs w:val="32"/>
          <w:lang w:val="en-US" w:eastAsia="zh-CN"/>
        </w:rPr>
        <w:t>138.59</w:t>
      </w:r>
      <w:r>
        <w:rPr>
          <w:rFonts w:hint="eastAsia" w:ascii="Times New Roman" w:hAnsi="Times New Roman" w:eastAsia="仿宋_GB2312"/>
          <w:sz w:val="32"/>
          <w:szCs w:val="32"/>
        </w:rPr>
        <w:t>万元，占政府采购支出总额的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%，其中：授予小微企业合同金额</w:t>
      </w:r>
      <w:r>
        <w:rPr>
          <w:rFonts w:hint="eastAsia" w:ascii="Times New Roman" w:hAnsi="Times New Roman" w:eastAsia="仿宋_GB2312"/>
          <w:sz w:val="32"/>
          <w:szCs w:val="32"/>
          <w:lang w:val="en-US" w:eastAsia="zh-CN"/>
        </w:rPr>
        <w:t>300</w:t>
      </w:r>
      <w:r>
        <w:rPr>
          <w:rFonts w:hint="eastAsia" w:ascii="Times New Roman" w:hAnsi="Times New Roman" w:eastAsia="仿宋_GB2312"/>
          <w:sz w:val="32"/>
          <w:szCs w:val="32"/>
        </w:rPr>
        <w:t>万元，</w:t>
      </w:r>
      <w:r>
        <w:rPr>
          <w:rFonts w:hint="eastAsia" w:ascii="Times New Roman" w:hAnsi="Times New Roman" w:eastAsia="仿宋_GB2312"/>
          <w:color w:val="auto"/>
          <w:sz w:val="32"/>
          <w:szCs w:val="32"/>
        </w:rPr>
        <w:t>占</w:t>
      </w:r>
      <w:r>
        <w:rPr>
          <w:rFonts w:hint="eastAsia" w:ascii="Times New Roman" w:hAnsi="Times New Roman" w:eastAsia="仿宋_GB2312"/>
          <w:color w:val="auto"/>
          <w:sz w:val="32"/>
          <w:szCs w:val="32"/>
          <w:lang w:eastAsia="zh-CN"/>
        </w:rPr>
        <w:t>授予中小企业合同金额</w:t>
      </w:r>
      <w:r>
        <w:rPr>
          <w:rFonts w:hint="eastAsia" w:ascii="Times New Roman" w:hAnsi="Times New Roman" w:eastAsia="仿宋_GB2312"/>
          <w:color w:val="auto"/>
          <w:sz w:val="32"/>
          <w:szCs w:val="32"/>
        </w:rPr>
        <w:t>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%。货物采购授予中小企业合同金额占货物支出金额的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%，服务采购授予中小企业合同金额占服务支出金额的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w:t>
      </w:r>
    </w:p>
    <w:p w14:paraId="408B80C5">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十二、关于国有资产占用情况说明</w:t>
      </w:r>
    </w:p>
    <w:p w14:paraId="43EED01F">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截至202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年12月31日，</w:t>
      </w:r>
      <w:r>
        <w:rPr>
          <w:rFonts w:hint="eastAsia" w:ascii="Times New Roman" w:hAnsi="Times New Roman" w:eastAsia="仿宋_GB2312"/>
          <w:color w:val="auto"/>
          <w:sz w:val="32"/>
          <w:szCs w:val="32"/>
          <w:lang w:eastAsia="zh-CN"/>
        </w:rPr>
        <w:t>部门（单位）</w:t>
      </w:r>
      <w:r>
        <w:rPr>
          <w:rFonts w:hint="eastAsia" w:ascii="Times New Roman" w:hAnsi="Times New Roman" w:eastAsia="仿宋_GB2312"/>
          <w:color w:val="auto"/>
          <w:sz w:val="32"/>
          <w:szCs w:val="32"/>
        </w:rPr>
        <w:t>共有车辆</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辆，单位价值100万元以上设备</w:t>
      </w:r>
      <w:r>
        <w:rPr>
          <w:rFonts w:hint="eastAsia" w:ascii="Times New Roman" w:hAnsi="Times New Roman" w:eastAsia="仿宋_GB2312"/>
          <w:color w:val="auto"/>
          <w:sz w:val="32"/>
          <w:szCs w:val="32"/>
          <w:lang w:eastAsia="zh-CN"/>
        </w:rPr>
        <w:t>（不含车辆）</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台（套）。</w:t>
      </w:r>
    </w:p>
    <w:p w14:paraId="21F98214">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十三、关于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6A171A0D">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6F13F8F2">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已对专项资金进行绩效评价。</w:t>
      </w:r>
    </w:p>
    <w:p w14:paraId="365AF077">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755E7BD2">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仿宋_GB2312" w:cs="仿宋_GB2312"/>
          <w:sz w:val="32"/>
          <w:szCs w:val="32"/>
          <w:shd w:val="clear" w:color="auto" w:fill="auto"/>
        </w:rPr>
      </w:pPr>
      <w:r>
        <w:rPr>
          <w:rFonts w:hint="eastAsia" w:ascii="Times New Roman" w:hAnsi="Times New Roman" w:eastAsia="仿宋_GB2312" w:cs="仿宋_GB2312"/>
          <w:color w:val="000000"/>
          <w:sz w:val="32"/>
          <w:szCs w:val="32"/>
        </w:rPr>
        <w:t>202</w:t>
      </w:r>
      <w:r>
        <w:rPr>
          <w:rFonts w:hint="eastAsia" w:ascii="Times New Roman" w:hAnsi="Times New Roman" w:eastAsia="仿宋_GB2312" w:cs="仿宋_GB2312"/>
          <w:color w:val="000000"/>
          <w:sz w:val="32"/>
          <w:szCs w:val="32"/>
          <w:lang w:val="en-US" w:eastAsia="zh-CN"/>
        </w:rPr>
        <w:t>3</w:t>
      </w:r>
      <w:r>
        <w:rPr>
          <w:rFonts w:hint="eastAsia" w:ascii="Times New Roman" w:hAnsi="Times New Roman" w:eastAsia="仿宋_GB2312" w:cs="仿宋_GB2312"/>
          <w:color w:val="000000"/>
          <w:sz w:val="32"/>
          <w:szCs w:val="32"/>
        </w:rPr>
        <w:t>年以来，湖南省大中专学校学生信息咨询与就业指导中心始终坚持以习近平新时代中国特色社会主义思想为指导，</w:t>
      </w:r>
      <w:r>
        <w:rPr>
          <w:rFonts w:hint="eastAsia" w:ascii="Times New Roman" w:hAnsi="Times New Roman" w:eastAsia="仿宋_GB2312" w:cs="仿宋_GB2312"/>
          <w:color w:val="000000"/>
          <w:kern w:val="0"/>
          <w:sz w:val="32"/>
          <w:szCs w:val="32"/>
          <w:lang w:val="en-US" w:eastAsia="zh-CN" w:bidi="ar"/>
        </w:rPr>
        <w:t>深入学习贯彻党的二十大精神，全面落实党中央、国务院、省委省政府对高校毕业生就业创业工作的决策部署，</w:t>
      </w:r>
      <w:r>
        <w:rPr>
          <w:rFonts w:hint="eastAsia" w:ascii="Times New Roman" w:hAnsi="Times New Roman" w:eastAsia="仿宋_GB2312" w:cs="仿宋_GB2312"/>
          <w:color w:val="000000"/>
          <w:sz w:val="32"/>
          <w:szCs w:val="32"/>
        </w:rPr>
        <w:t>深刻认识做好高校毕业生就业创业工作的重要性紧迫性，在委厅的正确领导下，在厅机关相关处室的指导支持下，</w:t>
      </w:r>
      <w:r>
        <w:rPr>
          <w:rFonts w:hint="eastAsia" w:ascii="Times New Roman" w:hAnsi="Times New Roman" w:eastAsia="仿宋_GB2312" w:cs="仿宋_GB2312"/>
          <w:color w:val="000000"/>
          <w:kern w:val="0"/>
          <w:sz w:val="32"/>
          <w:szCs w:val="32"/>
          <w:lang w:val="en-US" w:eastAsia="zh-CN" w:bidi="ar"/>
        </w:rPr>
        <w:t>紧密结合我省高校毕业生就业工作实际，创新思路举措，千方百计促进高校毕业生多渠道就业创业，</w:t>
      </w:r>
      <w:r>
        <w:rPr>
          <w:rFonts w:hint="eastAsia" w:ascii="Times New Roman" w:hAnsi="Times New Roman" w:eastAsia="仿宋_GB2312" w:cs="仿宋_GB2312"/>
          <w:color w:val="000000"/>
          <w:sz w:val="32"/>
          <w:szCs w:val="32"/>
        </w:rPr>
        <w:t>确保全省</w:t>
      </w:r>
      <w:r>
        <w:rPr>
          <w:rFonts w:hint="eastAsia" w:ascii="Times New Roman" w:hAnsi="Times New Roman" w:eastAsia="仿宋_GB2312" w:cs="仿宋_GB2312"/>
          <w:color w:val="000000"/>
          <w:sz w:val="32"/>
          <w:szCs w:val="32"/>
          <w:lang w:val="en-US" w:eastAsia="zh-CN"/>
        </w:rPr>
        <w:t>高校毕业生</w:t>
      </w:r>
      <w:r>
        <w:rPr>
          <w:rFonts w:hint="eastAsia" w:ascii="Times New Roman" w:hAnsi="Times New Roman" w:eastAsia="仿宋_GB2312" w:cs="仿宋_GB2312"/>
          <w:color w:val="000000"/>
          <w:sz w:val="32"/>
          <w:szCs w:val="32"/>
        </w:rPr>
        <w:t>就业形势总体平稳</w:t>
      </w:r>
      <w:r>
        <w:rPr>
          <w:rFonts w:hint="eastAsia" w:ascii="Times New Roman" w:hAnsi="Times New Roman" w:eastAsia="仿宋_GB2312" w:cs="仿宋_GB2312"/>
          <w:color w:val="000000"/>
          <w:sz w:val="32"/>
          <w:szCs w:val="32"/>
          <w:lang w:eastAsia="zh-CN"/>
        </w:rPr>
        <w:t>，</w:t>
      </w:r>
      <w:r>
        <w:rPr>
          <w:rFonts w:hint="eastAsia" w:ascii="Times New Roman" w:hAnsi="Times New Roman" w:eastAsia="仿宋_GB2312" w:cs="仿宋_GB2312"/>
          <w:color w:val="000000"/>
          <w:sz w:val="32"/>
          <w:szCs w:val="32"/>
        </w:rPr>
        <w:t>截至8月31日，全省202</w:t>
      </w:r>
      <w:r>
        <w:rPr>
          <w:rFonts w:hint="eastAsia" w:ascii="Times New Roman" w:hAnsi="Times New Roman" w:eastAsia="仿宋_GB2312" w:cs="仿宋_GB2312"/>
          <w:color w:val="000000"/>
          <w:sz w:val="32"/>
          <w:szCs w:val="32"/>
          <w:lang w:val="en-US" w:eastAsia="zh-CN"/>
        </w:rPr>
        <w:t>3</w:t>
      </w:r>
      <w:r>
        <w:rPr>
          <w:rFonts w:hint="eastAsia" w:ascii="Times New Roman" w:hAnsi="Times New Roman" w:eastAsia="仿宋_GB2312" w:cs="仿宋_GB2312"/>
          <w:color w:val="000000"/>
          <w:sz w:val="32"/>
          <w:szCs w:val="32"/>
        </w:rPr>
        <w:t>届高校毕业生毕业去向落实率为88.</w:t>
      </w:r>
      <w:r>
        <w:rPr>
          <w:rFonts w:hint="eastAsia" w:ascii="Times New Roman" w:hAnsi="Times New Roman" w:eastAsia="仿宋_GB2312" w:cs="仿宋_GB2312"/>
          <w:color w:val="000000"/>
          <w:sz w:val="32"/>
          <w:szCs w:val="32"/>
          <w:lang w:val="en-US" w:eastAsia="zh-CN"/>
        </w:rPr>
        <w:t>62</w:t>
      </w:r>
      <w:r>
        <w:rPr>
          <w:rFonts w:hint="eastAsia" w:ascii="Times New Roman" w:hAnsi="Times New Roman" w:eastAsia="仿宋_GB2312" w:cs="仿宋_GB2312"/>
          <w:color w:val="000000"/>
          <w:sz w:val="32"/>
          <w:szCs w:val="32"/>
        </w:rPr>
        <w:t>%，</w:t>
      </w:r>
      <w:r>
        <w:rPr>
          <w:rFonts w:hint="eastAsia" w:ascii="Times New Roman" w:hAnsi="Times New Roman" w:eastAsia="仿宋_GB2312" w:cs="仿宋_GB2312"/>
          <w:color w:val="000000"/>
          <w:sz w:val="32"/>
          <w:szCs w:val="32"/>
          <w:lang w:val="en-US" w:eastAsia="zh-CN"/>
        </w:rPr>
        <w:t>高于去年同期水平。我省就业工作获得晓明书记、伟明省长、殿勋副书记、建中副省长、国文副省长、忠诚部长多次批示，</w:t>
      </w:r>
      <w:r>
        <w:rPr>
          <w:rFonts w:hint="eastAsia" w:ascii="Times New Roman" w:hAnsi="Times New Roman" w:eastAsia="仿宋_GB2312" w:cs="仿宋_GB2312"/>
          <w:color w:val="000000"/>
          <w:kern w:val="2"/>
          <w:sz w:val="32"/>
          <w:szCs w:val="32"/>
          <w:lang w:val="en-US" w:eastAsia="zh-CN" w:bidi="ar-SA"/>
        </w:rPr>
        <w:t>教育部翁铁慧副部长来湘调研时对中心工作给予充分肯定。</w:t>
      </w:r>
      <w:r>
        <w:rPr>
          <w:rFonts w:hint="eastAsia" w:ascii="Times New Roman" w:hAnsi="Times New Roman" w:eastAsia="仿宋_GB2312" w:cs="仿宋_GB2312"/>
          <w:color w:val="000000"/>
          <w:sz w:val="32"/>
          <w:szCs w:val="32"/>
        </w:rPr>
        <w:t>中央教育工作领导小组秘书组</w:t>
      </w:r>
      <w:r>
        <w:rPr>
          <w:rFonts w:hint="eastAsia" w:ascii="Times New Roman" w:hAnsi="Times New Roman" w:eastAsia="仿宋_GB2312" w:cs="仿宋_GB2312"/>
          <w:color w:val="000000"/>
          <w:sz w:val="32"/>
          <w:szCs w:val="32"/>
          <w:lang w:eastAsia="zh-CN"/>
        </w:rPr>
        <w:t>《</w:t>
      </w:r>
      <w:r>
        <w:rPr>
          <w:rFonts w:hint="eastAsia" w:ascii="Times New Roman" w:hAnsi="Times New Roman" w:eastAsia="仿宋_GB2312" w:cs="仿宋_GB2312"/>
          <w:color w:val="000000"/>
          <w:sz w:val="32"/>
          <w:szCs w:val="32"/>
        </w:rPr>
        <w:t>湖南用心用力提升高校毕业生 就业指导服务实效（教育工作情况第26期）</w:t>
      </w:r>
      <w:r>
        <w:rPr>
          <w:rFonts w:hint="eastAsia" w:ascii="Times New Roman" w:hAnsi="Times New Roman" w:eastAsia="仿宋_GB2312" w:cs="仿宋_GB2312"/>
          <w:color w:val="000000"/>
          <w:sz w:val="32"/>
          <w:szCs w:val="32"/>
          <w:lang w:eastAsia="zh-CN"/>
        </w:rPr>
        <w:t>》</w:t>
      </w:r>
      <w:r>
        <w:rPr>
          <w:rFonts w:hint="eastAsia" w:ascii="Times New Roman" w:hAnsi="Times New Roman" w:eastAsia="仿宋_GB2312" w:cs="仿宋_GB2312"/>
          <w:color w:val="000000"/>
          <w:sz w:val="32"/>
          <w:szCs w:val="32"/>
        </w:rPr>
        <w:t>、教育部简报</w:t>
      </w:r>
      <w:r>
        <w:rPr>
          <w:rFonts w:hint="eastAsia" w:ascii="Times New Roman" w:hAnsi="Times New Roman" w:eastAsia="仿宋_GB2312" w:cs="仿宋_GB2312"/>
          <w:color w:val="000000"/>
          <w:sz w:val="32"/>
          <w:szCs w:val="32"/>
          <w:lang w:eastAsia="zh-CN"/>
        </w:rPr>
        <w:t>《湖南省强化“四实”举措 积极推进高校毕业生就业工作（教育部简报〔2023〕第12期）》</w:t>
      </w:r>
      <w:r>
        <w:rPr>
          <w:rFonts w:hint="eastAsia" w:ascii="Times New Roman" w:hAnsi="Times New Roman" w:eastAsia="仿宋_GB2312" w:cs="仿宋_GB2312"/>
          <w:color w:val="000000"/>
          <w:sz w:val="32"/>
          <w:szCs w:val="32"/>
        </w:rPr>
        <w:t>分别对我省就业工作做了专题推介。在省教育厅“我为现代化建设献策”</w:t>
      </w:r>
      <w:r>
        <w:rPr>
          <w:rFonts w:hint="eastAsia" w:ascii="Times New Roman" w:hAnsi="Times New Roman" w:eastAsia="仿宋_GB2312" w:cs="仿宋_GB2312"/>
          <w:color w:val="000000"/>
          <w:sz w:val="32"/>
          <w:szCs w:val="32"/>
          <w:lang w:val="en-US" w:eastAsia="zh-CN"/>
        </w:rPr>
        <w:t>决策咨询建议</w:t>
      </w:r>
      <w:r>
        <w:rPr>
          <w:rFonts w:hint="eastAsia" w:ascii="Times New Roman" w:hAnsi="Times New Roman" w:eastAsia="仿宋_GB2312" w:cs="仿宋_GB2312"/>
          <w:color w:val="000000"/>
          <w:sz w:val="32"/>
          <w:szCs w:val="32"/>
        </w:rPr>
        <w:t>活动评审中获</w:t>
      </w:r>
      <w:r>
        <w:rPr>
          <w:rFonts w:hint="eastAsia" w:ascii="Times New Roman" w:hAnsi="Times New Roman" w:eastAsia="仿宋_GB2312" w:cs="仿宋_GB2312"/>
          <w:color w:val="000000"/>
          <w:sz w:val="32"/>
          <w:szCs w:val="32"/>
          <w:lang w:val="en-US" w:eastAsia="zh-CN"/>
        </w:rPr>
        <w:t>一等奖3个，三等奖2个和</w:t>
      </w:r>
      <w:r>
        <w:rPr>
          <w:rFonts w:hint="eastAsia" w:ascii="Times New Roman" w:hAnsi="Times New Roman" w:eastAsia="仿宋_GB2312" w:cs="仿宋_GB2312"/>
          <w:color w:val="000000"/>
          <w:sz w:val="32"/>
          <w:szCs w:val="32"/>
        </w:rPr>
        <w:t>优秀组织奖。</w:t>
      </w:r>
      <w:r>
        <w:rPr>
          <w:rFonts w:hint="eastAsia" w:ascii="Times New Roman" w:hAnsi="Times New Roman" w:eastAsia="仿宋_GB2312" w:cs="仿宋_GB2312"/>
          <w:color w:val="auto"/>
          <w:sz w:val="32"/>
          <w:szCs w:val="32"/>
        </w:rPr>
        <w:t>中心</w:t>
      </w:r>
      <w:r>
        <w:rPr>
          <w:rFonts w:hint="eastAsia" w:ascii="Times New Roman" w:hAnsi="Times New Roman" w:eastAsia="仿宋_GB2312" w:cs="仿宋_GB2312"/>
          <w:color w:val="auto"/>
          <w:sz w:val="32"/>
          <w:szCs w:val="32"/>
          <w:lang w:val="en-US" w:eastAsia="zh-CN"/>
        </w:rPr>
        <w:t>被省教育厅评为</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lang w:val="en-US" w:eastAsia="zh-CN"/>
        </w:rPr>
        <w:t>委厅优秀基层党组织</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lang w:val="en-US" w:eastAsia="zh-CN"/>
        </w:rPr>
        <w:t>清廉单元样本”</w:t>
      </w:r>
      <w:r>
        <w:rPr>
          <w:rFonts w:hint="eastAsia" w:ascii="Times New Roman" w:hAnsi="Times New Roman" w:eastAsia="仿宋_GB2312" w:cs="仿宋_GB2312"/>
          <w:color w:val="auto"/>
          <w:sz w:val="32"/>
          <w:szCs w:val="32"/>
        </w:rPr>
        <w:t>。</w:t>
      </w:r>
    </w:p>
    <w:p w14:paraId="5A15180F">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4ED1B6E5">
      <w:pPr>
        <w:keepNext w:val="0"/>
        <w:keepLines w:val="0"/>
        <w:pageBreakBefore w:val="0"/>
        <w:kinsoku/>
        <w:wordWrap/>
        <w:overflowPunct/>
        <w:topLinePunct w:val="0"/>
        <w:autoSpaceDE w:val="0"/>
        <w:autoSpaceDN w:val="0"/>
        <w:bidi w:val="0"/>
        <w:adjustRightInd w:val="0"/>
        <w:snapToGrid/>
        <w:spacing w:line="520" w:lineRule="exact"/>
        <w:ind w:firstLine="640" w:firstLineChars="200"/>
        <w:textAlignment w:val="auto"/>
        <w:rPr>
          <w:rFonts w:eastAsia="黑体"/>
          <w:sz w:val="32"/>
          <w:szCs w:val="32"/>
        </w:rPr>
      </w:pPr>
      <w:r>
        <w:rPr>
          <w:rFonts w:hint="eastAsia" w:ascii="仿宋_GB2312" w:hAnsi="仿宋_GB2312" w:eastAsia="仿宋_GB2312" w:cs="仿宋_GB2312"/>
          <w:sz w:val="32"/>
          <w:szCs w:val="32"/>
        </w:rPr>
        <w:t>下一步，我中心将不断查找财务管理制度和执行的漏洞，剖析原因，完善办法，加强资金审核和支出的内控机制建设，坚持日常监督和专项检查相结合，做实做细自查自纠工作，形成常态化的工作机制，为确保毕业生充分就业提供强有力的保障，使有限的就业专项资金发挥更大的社会效益。</w:t>
      </w:r>
    </w:p>
    <w:p w14:paraId="6CED7B0C">
      <w:pPr>
        <w:pStyle w:val="15"/>
        <w:jc w:val="both"/>
        <w:rPr>
          <w:sz w:val="72"/>
          <w:szCs w:val="72"/>
        </w:rPr>
      </w:pPr>
    </w:p>
    <w:p w14:paraId="697774FA">
      <w:pPr>
        <w:pStyle w:val="15"/>
        <w:jc w:val="center"/>
        <w:rPr>
          <w:sz w:val="72"/>
          <w:szCs w:val="72"/>
        </w:rPr>
      </w:pPr>
    </w:p>
    <w:p w14:paraId="70A6A12D">
      <w:pPr>
        <w:pStyle w:val="15"/>
        <w:jc w:val="center"/>
        <w:rPr>
          <w:sz w:val="72"/>
          <w:szCs w:val="72"/>
        </w:rPr>
      </w:pPr>
    </w:p>
    <w:p w14:paraId="3459DAF9">
      <w:pPr>
        <w:pStyle w:val="15"/>
        <w:jc w:val="both"/>
        <w:rPr>
          <w:rFonts w:hint="eastAsia" w:ascii="方正小标宋_GBK" w:hAnsi="方正小标宋_GBK" w:eastAsia="方正小标宋_GBK" w:cs="方正小标宋_GBK"/>
          <w:sz w:val="72"/>
          <w:szCs w:val="72"/>
        </w:rPr>
      </w:pPr>
    </w:p>
    <w:p w14:paraId="035BDAF0">
      <w:pPr>
        <w:pStyle w:val="15"/>
        <w:jc w:val="center"/>
        <w:rPr>
          <w:rFonts w:hint="eastAsia" w:ascii="方正小标宋_GBK" w:hAnsi="方正小标宋_GBK" w:eastAsia="方正小标宋_GBK" w:cs="方正小标宋_GBK"/>
          <w:sz w:val="72"/>
          <w:szCs w:val="72"/>
        </w:rPr>
      </w:pPr>
    </w:p>
    <w:p w14:paraId="17D5C4C0">
      <w:pPr>
        <w:pStyle w:val="15"/>
        <w:jc w:val="center"/>
        <w:rPr>
          <w:rFonts w:hint="eastAsia" w:ascii="方正小标宋_GBK" w:hAnsi="方正小标宋_GBK" w:eastAsia="方正小标宋_GBK" w:cs="方正小标宋_GBK"/>
          <w:sz w:val="72"/>
          <w:szCs w:val="72"/>
        </w:rPr>
      </w:pPr>
    </w:p>
    <w:p w14:paraId="01C1E81C">
      <w:pPr>
        <w:pStyle w:val="15"/>
        <w:jc w:val="center"/>
        <w:rPr>
          <w:rFonts w:hint="eastAsia" w:ascii="方正小标宋_GBK" w:hAnsi="方正小标宋_GBK" w:eastAsia="方正小标宋_GBK" w:cs="方正小标宋_GBK"/>
          <w:sz w:val="72"/>
          <w:szCs w:val="72"/>
        </w:rPr>
      </w:pPr>
    </w:p>
    <w:p w14:paraId="1B4026C9">
      <w:pPr>
        <w:pStyle w:val="15"/>
        <w:jc w:val="center"/>
        <w:rPr>
          <w:rFonts w:hint="eastAsia" w:ascii="方正小标宋_GBK" w:hAnsi="方正小标宋_GBK" w:eastAsia="方正小标宋_GBK" w:cs="方正小标宋_GBK"/>
          <w:sz w:val="72"/>
          <w:szCs w:val="72"/>
        </w:rPr>
      </w:pPr>
    </w:p>
    <w:p w14:paraId="656F7766">
      <w:pPr>
        <w:pStyle w:val="15"/>
        <w:jc w:val="center"/>
        <w:rPr>
          <w:rFonts w:hint="eastAsia" w:ascii="方正小标宋_GBK" w:hAnsi="方正小标宋_GBK" w:eastAsia="方正小标宋_GBK" w:cs="方正小标宋_GBK"/>
          <w:sz w:val="72"/>
          <w:szCs w:val="72"/>
        </w:rPr>
      </w:pPr>
    </w:p>
    <w:p w14:paraId="22AE2AA9">
      <w:pPr>
        <w:pStyle w:val="15"/>
        <w:jc w:val="center"/>
        <w:rPr>
          <w:rFonts w:hint="eastAsia" w:ascii="方正小标宋_GBK" w:hAnsi="方正小标宋_GBK" w:eastAsia="方正小标宋_GBK" w:cs="方正小标宋_GBK"/>
          <w:sz w:val="72"/>
          <w:szCs w:val="72"/>
        </w:rPr>
      </w:pPr>
    </w:p>
    <w:p w14:paraId="7F6C570A">
      <w:pPr>
        <w:pStyle w:val="15"/>
        <w:jc w:val="center"/>
        <w:rPr>
          <w:rFonts w:hint="eastAsia" w:ascii="方正小标宋_GBK" w:hAnsi="方正小标宋_GBK" w:eastAsia="方正小标宋_GBK" w:cs="方正小标宋_GBK"/>
          <w:sz w:val="72"/>
          <w:szCs w:val="72"/>
        </w:rPr>
      </w:pPr>
    </w:p>
    <w:p w14:paraId="143C6BBA">
      <w:pPr>
        <w:pStyle w:val="15"/>
        <w:jc w:val="center"/>
        <w:rPr>
          <w:rFonts w:hint="eastAsia" w:ascii="方正小标宋_GBK" w:hAnsi="方正小标宋_GBK" w:eastAsia="方正小标宋_GBK" w:cs="方正小标宋_GBK"/>
          <w:sz w:val="72"/>
          <w:szCs w:val="72"/>
        </w:rPr>
      </w:pPr>
      <w:bookmarkStart w:id="0" w:name="_GoBack"/>
      <w:bookmarkEnd w:id="0"/>
      <w:r>
        <w:rPr>
          <w:rFonts w:hint="eastAsia" w:ascii="方正小标宋_GBK" w:hAnsi="方正小标宋_GBK" w:eastAsia="方正小标宋_GBK" w:cs="方正小标宋_GBK"/>
          <w:sz w:val="72"/>
          <w:szCs w:val="72"/>
        </w:rPr>
        <w:t>第四部分</w:t>
      </w:r>
    </w:p>
    <w:p w14:paraId="4594959D">
      <w:pPr>
        <w:jc w:val="center"/>
        <w:rPr>
          <w:rFonts w:hint="eastAsia" w:ascii="方正小标宋_GBK" w:hAnsi="方正小标宋_GBK" w:eastAsia="方正小标宋_GBK" w:cs="方正小标宋_GBK"/>
          <w:color w:val="000000"/>
          <w:kern w:val="0"/>
          <w:sz w:val="70"/>
          <w:szCs w:val="70"/>
        </w:rPr>
      </w:pPr>
    </w:p>
    <w:p w14:paraId="4EFED9E9">
      <w:pPr>
        <w:jc w:val="center"/>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14:paraId="3BA26671">
      <w:pPr>
        <w:widowControl/>
        <w:jc w:val="left"/>
        <w:rPr>
          <w:rFonts w:ascii="宋体" w:hAnsi="宋体" w:cs="黑体"/>
          <w:color w:val="000000"/>
          <w:kern w:val="0"/>
          <w:sz w:val="32"/>
          <w:szCs w:val="32"/>
        </w:rPr>
      </w:pPr>
      <w:r>
        <w:rPr>
          <w:rFonts w:hint="eastAsia" w:ascii="方正小标宋_GBK" w:hAnsi="方正小标宋_GBK" w:eastAsia="方正小标宋_GBK" w:cs="方正小标宋_GBK"/>
          <w:color w:val="000000"/>
          <w:kern w:val="0"/>
          <w:sz w:val="70"/>
          <w:szCs w:val="70"/>
        </w:rPr>
        <w:br w:type="page"/>
      </w:r>
    </w:p>
    <w:p w14:paraId="157A8E53">
      <w:pPr>
        <w:pStyle w:val="5"/>
        <w:keepNext w:val="0"/>
        <w:keepLines w:val="0"/>
        <w:pageBreakBefore w:val="0"/>
        <w:wordWrap/>
        <w:overflowPunct/>
        <w:topLinePunct w:val="0"/>
        <w:autoSpaceDE w:val="0"/>
        <w:autoSpaceDN w:val="0"/>
        <w:bidi w:val="0"/>
        <w:adjustRightInd w:val="0"/>
        <w:spacing w:line="500" w:lineRule="exact"/>
        <w:ind w:firstLine="640" w:firstLineChars="200"/>
        <w:jc w:val="both"/>
      </w:pPr>
      <w:r>
        <w:t>1</w:t>
      </w:r>
      <w:r>
        <w:rPr>
          <w:rFonts w:hint="eastAsia"/>
          <w:lang w:val="en-US" w:eastAsia="zh-CN"/>
        </w:rPr>
        <w:t>.</w:t>
      </w:r>
      <w:r>
        <w:t xml:space="preserve">基本支出：指保障机构正常运转、完成支日常工作任务而 发生的人员支出和公用支出。 </w:t>
      </w:r>
    </w:p>
    <w:p w14:paraId="1A260D6D">
      <w:pPr>
        <w:pStyle w:val="5"/>
        <w:keepNext w:val="0"/>
        <w:keepLines w:val="0"/>
        <w:pageBreakBefore w:val="0"/>
        <w:wordWrap/>
        <w:overflowPunct/>
        <w:topLinePunct w:val="0"/>
        <w:autoSpaceDE w:val="0"/>
        <w:autoSpaceDN w:val="0"/>
        <w:bidi w:val="0"/>
        <w:adjustRightInd w:val="0"/>
        <w:spacing w:line="500" w:lineRule="exact"/>
        <w:ind w:firstLine="640" w:firstLineChars="200"/>
        <w:jc w:val="both"/>
      </w:pPr>
      <w:r>
        <w:t>2</w:t>
      </w:r>
      <w:r>
        <w:rPr>
          <w:rFonts w:hint="eastAsia"/>
          <w:lang w:val="en-US" w:eastAsia="zh-CN"/>
        </w:rPr>
        <w:t>.</w:t>
      </w:r>
      <w:r>
        <w:t xml:space="preserve">项目支出：指在基本支出之外为完成特定行政任务和事业 发展目标所发生的支出。 </w:t>
      </w:r>
    </w:p>
    <w:p w14:paraId="213C0CD8">
      <w:pPr>
        <w:pStyle w:val="5"/>
        <w:keepNext w:val="0"/>
        <w:keepLines w:val="0"/>
        <w:pageBreakBefore w:val="0"/>
        <w:wordWrap/>
        <w:overflowPunct/>
        <w:topLinePunct w:val="0"/>
        <w:autoSpaceDE w:val="0"/>
        <w:autoSpaceDN w:val="0"/>
        <w:bidi w:val="0"/>
        <w:adjustRightInd w:val="0"/>
        <w:spacing w:line="500" w:lineRule="exact"/>
        <w:ind w:firstLine="640" w:firstLineChars="200"/>
        <w:jc w:val="both"/>
      </w:pPr>
      <w:r>
        <w:t>3</w:t>
      </w:r>
      <w:r>
        <w:rPr>
          <w:rFonts w:hint="eastAsia"/>
          <w:lang w:val="en-US" w:eastAsia="zh-CN"/>
        </w:rPr>
        <w:t>.</w:t>
      </w:r>
      <w:r>
        <w:t>“三公”经费：指用财政拨款安排的因公出国（境）费、 公务用车购置及运行费和公务接待费。其中，因公出国（境）费反映出国（境</w:t>
      </w:r>
      <w:r>
        <w:rPr>
          <w:spacing w:val="-80"/>
        </w:rPr>
        <w:t>）</w:t>
      </w:r>
      <w:r>
        <w:rPr>
          <w:spacing w:val="-2"/>
        </w:rPr>
        <w:t>的住宿费、旅费、伙食补助费、杂费、培训费等支出；公务用车购置</w:t>
      </w:r>
      <w:r>
        <w:rPr>
          <w:spacing w:val="-15"/>
        </w:rPr>
        <w:t>及运行费反映单位公务用车购置费及租用费、燃料费、维修费、过路过桥费、</w:t>
      </w:r>
      <w:r>
        <w:t xml:space="preserve">保险费。 </w:t>
      </w:r>
    </w:p>
    <w:p w14:paraId="63047D15">
      <w:pPr>
        <w:pStyle w:val="5"/>
        <w:keepNext w:val="0"/>
        <w:keepLines w:val="0"/>
        <w:pageBreakBefore w:val="0"/>
        <w:wordWrap/>
        <w:overflowPunct/>
        <w:topLinePunct w:val="0"/>
        <w:autoSpaceDE w:val="0"/>
        <w:autoSpaceDN w:val="0"/>
        <w:bidi w:val="0"/>
        <w:adjustRightInd w:val="0"/>
        <w:spacing w:line="500" w:lineRule="exact"/>
        <w:ind w:right="29" w:rightChars="0" w:firstLine="640" w:firstLineChars="200"/>
        <w:jc w:val="both"/>
      </w:pPr>
      <w:r>
        <w:t>4</w:t>
      </w:r>
      <w:r>
        <w:rPr>
          <w:rFonts w:hint="eastAsia"/>
          <w:lang w:val="en-US" w:eastAsia="zh-CN"/>
        </w:rPr>
        <w:t>.</w:t>
      </w:r>
      <w:r>
        <w:t xml:space="preserve">机关运行经费：指行政单位和参照公务员法管理的事业单位使用一般公共预算财政拨款安排的基本支出中的日常公用经费支出。 </w:t>
      </w:r>
    </w:p>
    <w:p w14:paraId="76FA3B69">
      <w:pPr>
        <w:pStyle w:val="15"/>
        <w:jc w:val="center"/>
        <w:rPr>
          <w:sz w:val="72"/>
          <w:szCs w:val="72"/>
        </w:rPr>
      </w:pPr>
    </w:p>
    <w:p w14:paraId="7BCBA6A3">
      <w:pPr>
        <w:pStyle w:val="15"/>
        <w:jc w:val="center"/>
        <w:rPr>
          <w:sz w:val="72"/>
          <w:szCs w:val="72"/>
        </w:rPr>
      </w:pPr>
    </w:p>
    <w:p w14:paraId="4345517B">
      <w:pPr>
        <w:pStyle w:val="15"/>
        <w:jc w:val="center"/>
        <w:rPr>
          <w:sz w:val="72"/>
          <w:szCs w:val="72"/>
        </w:rPr>
      </w:pPr>
    </w:p>
    <w:p w14:paraId="7E7C6086">
      <w:pPr>
        <w:pStyle w:val="15"/>
        <w:jc w:val="center"/>
        <w:rPr>
          <w:sz w:val="72"/>
          <w:szCs w:val="72"/>
        </w:rPr>
      </w:pPr>
    </w:p>
    <w:p w14:paraId="5BE1991F">
      <w:pPr>
        <w:pStyle w:val="15"/>
        <w:jc w:val="center"/>
        <w:rPr>
          <w:sz w:val="72"/>
          <w:szCs w:val="72"/>
        </w:rPr>
      </w:pPr>
    </w:p>
    <w:p w14:paraId="495689AA">
      <w:pPr>
        <w:pStyle w:val="15"/>
        <w:jc w:val="center"/>
        <w:rPr>
          <w:sz w:val="72"/>
          <w:szCs w:val="72"/>
        </w:rPr>
      </w:pPr>
    </w:p>
    <w:p w14:paraId="56AF6A2C">
      <w:pPr>
        <w:pStyle w:val="15"/>
        <w:jc w:val="center"/>
        <w:rPr>
          <w:sz w:val="72"/>
          <w:szCs w:val="72"/>
        </w:rPr>
      </w:pPr>
    </w:p>
    <w:p w14:paraId="733ACA85">
      <w:pPr>
        <w:rPr>
          <w:sz w:val="72"/>
          <w:szCs w:val="72"/>
        </w:rPr>
      </w:pPr>
      <w:r>
        <w:rPr>
          <w:sz w:val="72"/>
          <w:szCs w:val="72"/>
        </w:rPr>
        <w:br w:type="page"/>
      </w:r>
    </w:p>
    <w:p w14:paraId="22E5E43C">
      <w:pPr>
        <w:pStyle w:val="15"/>
        <w:jc w:val="center"/>
        <w:rPr>
          <w:rFonts w:hint="eastAsia" w:ascii="方正小标宋_GBK" w:hAnsi="方正小标宋_GBK" w:eastAsia="方正小标宋_GBK" w:cs="方正小标宋_GBK"/>
          <w:sz w:val="72"/>
          <w:szCs w:val="72"/>
        </w:rPr>
      </w:pPr>
    </w:p>
    <w:p w14:paraId="70080026">
      <w:pPr>
        <w:pStyle w:val="15"/>
        <w:jc w:val="center"/>
        <w:rPr>
          <w:rFonts w:hint="eastAsia" w:ascii="方正小标宋_GBK" w:hAnsi="方正小标宋_GBK" w:eastAsia="方正小标宋_GBK" w:cs="方正小标宋_GBK"/>
          <w:sz w:val="72"/>
          <w:szCs w:val="72"/>
        </w:rPr>
      </w:pPr>
    </w:p>
    <w:p w14:paraId="4E42F6B3">
      <w:pPr>
        <w:pStyle w:val="15"/>
        <w:jc w:val="center"/>
        <w:rPr>
          <w:rFonts w:hint="eastAsia" w:ascii="方正小标宋_GBK" w:hAnsi="方正小标宋_GBK" w:eastAsia="方正小标宋_GBK" w:cs="方正小标宋_GBK"/>
          <w:sz w:val="72"/>
          <w:szCs w:val="72"/>
        </w:rPr>
      </w:pPr>
    </w:p>
    <w:p w14:paraId="7FD855F1">
      <w:pPr>
        <w:pStyle w:val="15"/>
        <w:jc w:val="center"/>
        <w:rPr>
          <w:rFonts w:hint="eastAsia" w:ascii="方正小标宋_GBK" w:hAnsi="方正小标宋_GBK" w:eastAsia="方正小标宋_GBK" w:cs="方正小标宋_GBK"/>
          <w:sz w:val="72"/>
          <w:szCs w:val="72"/>
        </w:rPr>
      </w:pPr>
    </w:p>
    <w:p w14:paraId="1B65FEBB">
      <w:pPr>
        <w:pStyle w:val="15"/>
        <w:jc w:val="center"/>
        <w:rPr>
          <w:rFonts w:hint="eastAsia" w:ascii="方正小标宋_GBK" w:hAnsi="方正小标宋_GBK" w:eastAsia="方正小标宋_GBK" w:cs="方正小标宋_GBK"/>
          <w:sz w:val="72"/>
          <w:szCs w:val="72"/>
        </w:rPr>
      </w:pPr>
    </w:p>
    <w:p w14:paraId="36AF6064">
      <w:pPr>
        <w:pStyle w:val="15"/>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164C30F5">
      <w:pPr>
        <w:pStyle w:val="15"/>
        <w:jc w:val="center"/>
        <w:rPr>
          <w:rFonts w:hint="eastAsia" w:ascii="方正小标宋_GBK" w:hAnsi="方正小标宋_GBK" w:eastAsia="方正小标宋_GBK" w:cs="方正小标宋_GBK"/>
          <w:sz w:val="70"/>
          <w:szCs w:val="70"/>
        </w:rPr>
      </w:pPr>
    </w:p>
    <w:p w14:paraId="72122D77">
      <w:pPr>
        <w:pStyle w:val="15"/>
        <w:jc w:val="center"/>
        <w:rPr>
          <w:rFonts w:hint="eastAsia" w:eastAsia="黑体"/>
          <w:sz w:val="72"/>
          <w:szCs w:val="72"/>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2090D5A2">
      <w:pPr>
        <w:rPr>
          <w:sz w:val="72"/>
          <w:szCs w:val="72"/>
        </w:rPr>
      </w:pPr>
      <w:r>
        <w:rPr>
          <w:sz w:val="72"/>
          <w:szCs w:val="72"/>
        </w:rPr>
        <w:br w:type="page"/>
      </w:r>
    </w:p>
    <w:p w14:paraId="3D6B4348">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202</w:t>
      </w:r>
      <w:r>
        <w:rPr>
          <w:rFonts w:hint="eastAsia" w:ascii="方正小标宋简体" w:hAnsi="方正小标宋简体" w:eastAsia="方正小标宋简体" w:cs="方正小标宋简体"/>
          <w:sz w:val="52"/>
          <w:szCs w:val="52"/>
          <w:lang w:val="en-US" w:eastAsia="zh-CN"/>
        </w:rPr>
        <w:t>3</w:t>
      </w:r>
      <w:r>
        <w:rPr>
          <w:rFonts w:hint="eastAsia" w:ascii="方正小标宋简体" w:hAnsi="方正小标宋简体" w:eastAsia="方正小标宋简体" w:cs="方正小标宋简体"/>
          <w:sz w:val="52"/>
          <w:szCs w:val="52"/>
        </w:rPr>
        <w:t>年度湖南省大中专学校学生信息咨询与就业指导中心单位整体支出</w:t>
      </w:r>
    </w:p>
    <w:p w14:paraId="4358F91F">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绩效自评报告</w:t>
      </w:r>
    </w:p>
    <w:p w14:paraId="59111143">
      <w:pPr>
        <w:jc w:val="center"/>
        <w:rPr>
          <w:rFonts w:ascii="方正小标宋_GBK" w:eastAsia="方正小标宋_GBK"/>
          <w:sz w:val="52"/>
          <w:szCs w:val="52"/>
        </w:rPr>
      </w:pPr>
    </w:p>
    <w:p w14:paraId="6C17C6A8">
      <w:pPr>
        <w:jc w:val="center"/>
        <w:rPr>
          <w:rFonts w:eastAsia="黑体"/>
          <w:sz w:val="32"/>
          <w:szCs w:val="32"/>
        </w:rPr>
      </w:pPr>
    </w:p>
    <w:p w14:paraId="45054971">
      <w:pPr>
        <w:jc w:val="center"/>
        <w:rPr>
          <w:rFonts w:eastAsia="黑体"/>
          <w:sz w:val="32"/>
          <w:szCs w:val="32"/>
        </w:rPr>
      </w:pPr>
    </w:p>
    <w:p w14:paraId="4B1A4898">
      <w:pPr>
        <w:jc w:val="center"/>
        <w:rPr>
          <w:rFonts w:eastAsia="黑体"/>
          <w:sz w:val="32"/>
          <w:szCs w:val="32"/>
        </w:rPr>
      </w:pPr>
    </w:p>
    <w:p w14:paraId="17936F06">
      <w:pPr>
        <w:spacing w:line="600" w:lineRule="exact"/>
        <w:ind w:firstLine="2624" w:firstLineChars="820"/>
        <w:jc w:val="left"/>
        <w:rPr>
          <w:rFonts w:eastAsia="仿宋_GB2312"/>
          <w:sz w:val="32"/>
          <w:szCs w:val="32"/>
        </w:rPr>
      </w:pPr>
      <w:r>
        <w:rPr>
          <w:rFonts w:eastAsia="仿宋_GB2312"/>
          <w:sz w:val="32"/>
          <w:szCs w:val="32"/>
        </w:rPr>
        <w:t>单位名称：（盖章）</w:t>
      </w:r>
    </w:p>
    <w:p w14:paraId="1355AA91">
      <w:pPr>
        <w:jc w:val="center"/>
        <w:rPr>
          <w:rFonts w:eastAsia="黑体"/>
          <w:sz w:val="32"/>
          <w:szCs w:val="32"/>
        </w:rPr>
      </w:pPr>
    </w:p>
    <w:p w14:paraId="424E1947">
      <w:pPr>
        <w:jc w:val="both"/>
        <w:rPr>
          <w:rFonts w:eastAsia="黑体"/>
          <w:sz w:val="32"/>
          <w:szCs w:val="32"/>
        </w:rPr>
      </w:pPr>
    </w:p>
    <w:p w14:paraId="53DACB64">
      <w:pPr>
        <w:spacing w:line="600" w:lineRule="exact"/>
        <w:ind w:firstLine="2560" w:firstLineChars="800"/>
        <w:rPr>
          <w:rFonts w:eastAsia="楷体_GB2312"/>
          <w:sz w:val="32"/>
          <w:szCs w:val="32"/>
        </w:rPr>
      </w:pPr>
      <w:r>
        <w:rPr>
          <w:rFonts w:hint="eastAsia" w:eastAsia="楷体_GB2312"/>
          <w:sz w:val="32"/>
          <w:szCs w:val="32"/>
        </w:rPr>
        <w:t>202</w:t>
      </w:r>
      <w:r>
        <w:rPr>
          <w:rFonts w:hint="eastAsia" w:eastAsia="楷体_GB2312"/>
          <w:sz w:val="32"/>
          <w:szCs w:val="32"/>
          <w:lang w:val="en-US" w:eastAsia="zh-CN"/>
        </w:rPr>
        <w:t>4</w:t>
      </w:r>
      <w:r>
        <w:rPr>
          <w:rFonts w:eastAsia="楷体_GB2312"/>
          <w:sz w:val="32"/>
          <w:szCs w:val="32"/>
        </w:rPr>
        <w:t xml:space="preserve">年 </w:t>
      </w:r>
      <w:r>
        <w:rPr>
          <w:rFonts w:hint="eastAsia" w:eastAsia="楷体_GB2312"/>
          <w:sz w:val="32"/>
          <w:szCs w:val="32"/>
        </w:rPr>
        <w:t>4</w:t>
      </w:r>
      <w:r>
        <w:rPr>
          <w:rFonts w:eastAsia="楷体_GB2312"/>
          <w:sz w:val="32"/>
          <w:szCs w:val="32"/>
        </w:rPr>
        <w:t xml:space="preserve"> 月 </w:t>
      </w:r>
      <w:r>
        <w:rPr>
          <w:rFonts w:hint="eastAsia" w:eastAsia="楷体_GB2312"/>
          <w:sz w:val="32"/>
          <w:szCs w:val="32"/>
        </w:rPr>
        <w:t>28</w:t>
      </w:r>
      <w:r>
        <w:rPr>
          <w:rFonts w:eastAsia="楷体_GB2312"/>
          <w:sz w:val="32"/>
          <w:szCs w:val="32"/>
        </w:rPr>
        <w:t xml:space="preserve"> 日</w:t>
      </w:r>
    </w:p>
    <w:p w14:paraId="740BD976">
      <w:pPr>
        <w:jc w:val="center"/>
        <w:rPr>
          <w:rFonts w:eastAsia="黑体"/>
          <w:sz w:val="32"/>
          <w:szCs w:val="32"/>
        </w:rPr>
      </w:pPr>
    </w:p>
    <w:p w14:paraId="684C80F5">
      <w:pPr>
        <w:spacing w:line="600" w:lineRule="exact"/>
        <w:ind w:firstLine="2784" w:firstLineChars="870"/>
        <w:jc w:val="left"/>
        <w:rPr>
          <w:rFonts w:eastAsia="仿宋_GB2312"/>
          <w:sz w:val="32"/>
          <w:szCs w:val="32"/>
        </w:rPr>
      </w:pPr>
      <w:r>
        <w:rPr>
          <w:rFonts w:eastAsia="仿宋_GB2312"/>
          <w:sz w:val="32"/>
          <w:szCs w:val="32"/>
        </w:rPr>
        <w:t>（此页为封面）</w:t>
      </w:r>
    </w:p>
    <w:p w14:paraId="3EB6CC44">
      <w:pPr>
        <w:keepNext w:val="0"/>
        <w:keepLines w:val="0"/>
        <w:pageBreakBefore w:val="0"/>
        <w:numPr>
          <w:ilvl w:val="0"/>
          <w:numId w:val="0"/>
        </w:numPr>
        <w:kinsoku/>
        <w:wordWrap/>
        <w:overflowPunct/>
        <w:topLinePunct w:val="0"/>
        <w:bidi w:val="0"/>
        <w:snapToGrid/>
        <w:spacing w:line="540" w:lineRule="exact"/>
        <w:ind w:firstLine="640" w:firstLineChars="200"/>
        <w:textAlignment w:val="auto"/>
        <w:rPr>
          <w:rFonts w:hint="eastAsia" w:ascii="黑体" w:eastAsia="黑体"/>
          <w:sz w:val="32"/>
          <w:szCs w:val="32"/>
          <w:lang w:val="en-US" w:eastAsia="zh-CN"/>
        </w:rPr>
      </w:pPr>
    </w:p>
    <w:p w14:paraId="554936CF">
      <w:pPr>
        <w:keepNext w:val="0"/>
        <w:keepLines w:val="0"/>
        <w:pageBreakBefore w:val="0"/>
        <w:numPr>
          <w:ilvl w:val="0"/>
          <w:numId w:val="0"/>
        </w:numPr>
        <w:kinsoku/>
        <w:wordWrap/>
        <w:overflowPunct/>
        <w:topLinePunct w:val="0"/>
        <w:bidi w:val="0"/>
        <w:snapToGrid/>
        <w:spacing w:line="540" w:lineRule="exact"/>
        <w:ind w:firstLine="640" w:firstLineChars="200"/>
        <w:textAlignment w:val="auto"/>
        <w:rPr>
          <w:rFonts w:hint="eastAsia" w:ascii="黑体" w:eastAsia="黑体"/>
          <w:sz w:val="32"/>
          <w:szCs w:val="32"/>
          <w:lang w:val="en-US" w:eastAsia="zh-CN"/>
        </w:rPr>
      </w:pPr>
    </w:p>
    <w:p w14:paraId="77D18540">
      <w:pPr>
        <w:keepNext w:val="0"/>
        <w:keepLines w:val="0"/>
        <w:pageBreakBefore w:val="0"/>
        <w:numPr>
          <w:ilvl w:val="0"/>
          <w:numId w:val="0"/>
        </w:numPr>
        <w:kinsoku/>
        <w:wordWrap/>
        <w:overflowPunct/>
        <w:topLinePunct w:val="0"/>
        <w:bidi w:val="0"/>
        <w:snapToGrid/>
        <w:spacing w:line="520" w:lineRule="exact"/>
        <w:ind w:firstLine="640" w:firstLineChars="200"/>
        <w:textAlignment w:val="auto"/>
        <w:rPr>
          <w:rFonts w:ascii="黑体" w:eastAsia="黑体"/>
          <w:sz w:val="32"/>
          <w:szCs w:val="32"/>
        </w:rPr>
      </w:pPr>
      <w:r>
        <w:rPr>
          <w:rFonts w:hint="eastAsia" w:ascii="黑体" w:eastAsia="黑体"/>
          <w:sz w:val="32"/>
          <w:szCs w:val="32"/>
          <w:lang w:val="en-US" w:eastAsia="zh-CN"/>
        </w:rPr>
        <w:t>一、</w:t>
      </w:r>
      <w:r>
        <w:rPr>
          <w:rFonts w:hint="eastAsia" w:ascii="黑体" w:eastAsia="黑体"/>
          <w:sz w:val="32"/>
          <w:szCs w:val="32"/>
        </w:rPr>
        <w:t>单位基本情况</w:t>
      </w:r>
    </w:p>
    <w:p w14:paraId="16710B2E">
      <w:pPr>
        <w:keepNext w:val="0"/>
        <w:keepLines w:val="0"/>
        <w:pageBreakBefore w:val="0"/>
        <w:widowControl/>
        <w:kinsoku/>
        <w:wordWrap/>
        <w:overflowPunct/>
        <w:topLinePunct w:val="0"/>
        <w:bidi w:val="0"/>
        <w:snapToGrid/>
        <w:spacing w:line="52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湖南省大中专学校学生信息咨询与就业指导中心（以下简称中心）是省教育厅直属正处级事业单位，现有编制1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个。主要承担协助管理和组织举办全省高校毕业生就业市场活动、托管毕业生档案及党团组织关系、统计与监测高校毕业生就业率、毕业生就业政策宣传与咨询、就业指导培训、学历学位认证、学籍学历电子注册、学位信息备案、毕业生资格审查、农村特岗教师招聘、少数民族骨干计划管理以及公费师范生管理等工作。</w:t>
      </w:r>
    </w:p>
    <w:p w14:paraId="209E3AD0">
      <w:pPr>
        <w:keepNext w:val="0"/>
        <w:keepLines w:val="0"/>
        <w:pageBreakBefore w:val="0"/>
        <w:widowControl/>
        <w:kinsoku/>
        <w:wordWrap/>
        <w:overflowPunct/>
        <w:topLinePunct w:val="0"/>
        <w:bidi w:val="0"/>
        <w:snapToGrid/>
        <w:spacing w:line="52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二、一般公共预算支出情况</w:t>
      </w:r>
    </w:p>
    <w:p w14:paraId="699184DA">
      <w:pPr>
        <w:keepNext w:val="0"/>
        <w:keepLines w:val="0"/>
        <w:pageBreakBefore w:val="0"/>
        <w:widowControl/>
        <w:kinsoku/>
        <w:wordWrap/>
        <w:overflowPunct/>
        <w:topLinePunct w:val="0"/>
        <w:bidi w:val="0"/>
        <w:snapToGrid/>
        <w:spacing w:line="520" w:lineRule="exact"/>
        <w:ind w:firstLine="640"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（一）基本支出情况</w:t>
      </w:r>
    </w:p>
    <w:p w14:paraId="5C1E5904">
      <w:pPr>
        <w:keepNext w:val="0"/>
        <w:keepLines w:val="0"/>
        <w:pageBreakBefore w:val="0"/>
        <w:widowControl/>
        <w:kinsoku/>
        <w:wordWrap/>
        <w:overflowPunct/>
        <w:topLinePunct w:val="0"/>
        <w:bidi w:val="0"/>
        <w:snapToGrid/>
        <w:spacing w:line="52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年中心基本支出</w:t>
      </w:r>
      <w:r>
        <w:rPr>
          <w:rFonts w:hint="eastAsia" w:ascii="仿宋_GB2312" w:hAnsi="仿宋_GB2312" w:eastAsia="仿宋_GB2312" w:cs="仿宋_GB2312"/>
          <w:sz w:val="32"/>
          <w:szCs w:val="32"/>
          <w:lang w:val="en-US" w:eastAsia="zh-CN"/>
        </w:rPr>
        <w:t>340.71</w:t>
      </w:r>
      <w:r>
        <w:rPr>
          <w:rFonts w:hint="eastAsia" w:ascii="仿宋_GB2312" w:hAnsi="仿宋_GB2312" w:eastAsia="仿宋_GB2312" w:cs="仿宋_GB2312"/>
          <w:sz w:val="32"/>
          <w:szCs w:val="32"/>
        </w:rPr>
        <w:t>万元，其中：人员经费</w:t>
      </w:r>
      <w:r>
        <w:rPr>
          <w:rFonts w:hint="eastAsia" w:ascii="仿宋_GB2312" w:hAnsi="仿宋_GB2312" w:eastAsia="仿宋_GB2312" w:cs="仿宋_GB2312"/>
          <w:sz w:val="32"/>
          <w:szCs w:val="32"/>
          <w:lang w:val="en-US" w:eastAsia="zh-CN"/>
        </w:rPr>
        <w:t>251.89</w:t>
      </w:r>
      <w:r>
        <w:rPr>
          <w:rFonts w:hint="eastAsia" w:ascii="仿宋_GB2312" w:hAnsi="仿宋_GB2312" w:eastAsia="仿宋_GB2312" w:cs="仿宋_GB2312"/>
          <w:sz w:val="32"/>
          <w:szCs w:val="32"/>
        </w:rPr>
        <w:t>万元，公用经费</w:t>
      </w:r>
      <w:r>
        <w:rPr>
          <w:rFonts w:hint="eastAsia" w:ascii="仿宋_GB2312" w:hAnsi="仿宋_GB2312" w:eastAsia="仿宋_GB2312" w:cs="仿宋_GB2312"/>
          <w:sz w:val="32"/>
          <w:szCs w:val="32"/>
          <w:lang w:val="en-US" w:eastAsia="zh-CN"/>
        </w:rPr>
        <w:t>88.82</w:t>
      </w:r>
      <w:r>
        <w:rPr>
          <w:rFonts w:hint="eastAsia" w:ascii="仿宋_GB2312" w:hAnsi="仿宋_GB2312" w:eastAsia="仿宋_GB2312" w:cs="仿宋_GB2312"/>
          <w:sz w:val="32"/>
          <w:szCs w:val="32"/>
        </w:rPr>
        <w:t>万元。</w:t>
      </w:r>
    </w:p>
    <w:p w14:paraId="487DE0A5">
      <w:pPr>
        <w:keepNext w:val="0"/>
        <w:keepLines w:val="0"/>
        <w:pageBreakBefore w:val="0"/>
        <w:widowControl/>
        <w:kinsoku/>
        <w:wordWrap/>
        <w:overflowPunct/>
        <w:topLinePunct w:val="0"/>
        <w:bidi w:val="0"/>
        <w:snapToGrid/>
        <w:spacing w:line="520" w:lineRule="exact"/>
        <w:ind w:firstLine="640"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二</w:t>
      </w:r>
      <w:r>
        <w:rPr>
          <w:rFonts w:hint="eastAsia" w:ascii="楷体" w:hAnsi="楷体" w:eastAsia="楷体" w:cs="楷体"/>
          <w:b/>
          <w:bCs/>
          <w:sz w:val="32"/>
          <w:szCs w:val="32"/>
          <w:lang w:eastAsia="zh-CN"/>
        </w:rPr>
        <w:t>）</w:t>
      </w:r>
      <w:r>
        <w:rPr>
          <w:rFonts w:hint="eastAsia" w:ascii="楷体" w:hAnsi="楷体" w:eastAsia="楷体" w:cs="楷体"/>
          <w:b/>
          <w:bCs/>
          <w:sz w:val="32"/>
          <w:szCs w:val="32"/>
        </w:rPr>
        <w:t>项目支出情况</w:t>
      </w:r>
    </w:p>
    <w:p w14:paraId="3EA9B72D">
      <w:pPr>
        <w:keepNext w:val="0"/>
        <w:keepLines w:val="0"/>
        <w:pageBreakBefore w:val="0"/>
        <w:widowControl/>
        <w:kinsoku/>
        <w:wordWrap/>
        <w:overflowPunct/>
        <w:topLinePunct w:val="0"/>
        <w:bidi w:val="0"/>
        <w:snapToGrid/>
        <w:spacing w:line="52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项目支出8</w:t>
      </w:r>
      <w:r>
        <w:rPr>
          <w:rFonts w:hint="eastAsia" w:ascii="仿宋_GB2312" w:hAnsi="仿宋_GB2312" w:eastAsia="仿宋_GB2312" w:cs="仿宋_GB2312"/>
          <w:sz w:val="32"/>
          <w:szCs w:val="32"/>
          <w:lang w:val="en-US" w:eastAsia="zh-CN"/>
        </w:rPr>
        <w:t>53.34</w:t>
      </w:r>
      <w:r>
        <w:rPr>
          <w:rFonts w:hint="eastAsia" w:ascii="仿宋_GB2312" w:hAnsi="仿宋_GB2312" w:eastAsia="仿宋_GB2312" w:cs="仿宋_GB2312"/>
          <w:sz w:val="32"/>
          <w:szCs w:val="32"/>
        </w:rPr>
        <w:t>万元，其中：教育综合发展专项资金</w:t>
      </w:r>
      <w:r>
        <w:rPr>
          <w:rFonts w:hint="eastAsia" w:ascii="仿宋_GB2312" w:hAnsi="仿宋_GB2312" w:eastAsia="仿宋_GB2312" w:cs="仿宋_GB2312"/>
          <w:sz w:val="32"/>
          <w:szCs w:val="32"/>
          <w:lang w:val="en-US" w:eastAsia="zh-CN"/>
        </w:rPr>
        <w:t>695.34</w:t>
      </w:r>
      <w:r>
        <w:rPr>
          <w:rFonts w:hint="eastAsia" w:ascii="仿宋_GB2312" w:hAnsi="仿宋_GB2312" w:eastAsia="仿宋_GB2312" w:cs="仿宋_GB2312"/>
          <w:sz w:val="32"/>
          <w:szCs w:val="32"/>
        </w:rPr>
        <w:t>万元</w:t>
      </w:r>
      <w:r>
        <w:rPr>
          <w:rFonts w:hint="eastAsia" w:ascii="仿宋_GB2312" w:hAnsi="仿宋_GB2312" w:eastAsia="仿宋_GB2312" w:cs="仿宋_GB2312"/>
          <w:kern w:val="0"/>
          <w:sz w:val="32"/>
          <w:szCs w:val="32"/>
        </w:rPr>
        <w:t>，</w:t>
      </w:r>
      <w:r>
        <w:rPr>
          <w:rFonts w:hint="eastAsia" w:ascii="仿宋_GB2312" w:hAnsi="仿宋_GB2312" w:eastAsia="仿宋_GB2312" w:cs="仿宋_GB2312"/>
          <w:sz w:val="32"/>
          <w:szCs w:val="32"/>
        </w:rPr>
        <w:t>高校“双一流”及第</w:t>
      </w:r>
      <w:r>
        <w:rPr>
          <w:rFonts w:hint="eastAsia" w:ascii="仿宋_GB2312" w:hAnsi="仿宋_GB2312" w:eastAsia="仿宋_GB2312" w:cs="仿宋_GB2312"/>
          <w:sz w:val="32"/>
          <w:szCs w:val="32"/>
          <w:lang w:eastAsia="zh-CN"/>
        </w:rPr>
        <w:t>九</w:t>
      </w:r>
      <w:r>
        <w:rPr>
          <w:rFonts w:hint="eastAsia" w:ascii="仿宋_GB2312" w:hAnsi="仿宋_GB2312" w:eastAsia="仿宋_GB2312" w:cs="仿宋_GB2312"/>
          <w:sz w:val="32"/>
          <w:szCs w:val="32"/>
        </w:rPr>
        <w:t>届湖南省“互联网+”大学生创新创业大赛经费</w:t>
      </w:r>
      <w:r>
        <w:rPr>
          <w:rFonts w:hint="eastAsia" w:ascii="仿宋_GB2312" w:hAnsi="仿宋_GB2312" w:eastAsia="仿宋_GB2312" w:cs="仿宋_GB2312"/>
          <w:sz w:val="32"/>
          <w:szCs w:val="32"/>
          <w:lang w:val="en-US" w:eastAsia="zh-CN"/>
        </w:rPr>
        <w:t>158</w:t>
      </w:r>
      <w:r>
        <w:rPr>
          <w:rFonts w:hint="eastAsia" w:ascii="仿宋_GB2312" w:hAnsi="仿宋_GB2312" w:eastAsia="仿宋_GB2312" w:cs="仿宋_GB2312"/>
          <w:sz w:val="32"/>
          <w:szCs w:val="32"/>
        </w:rPr>
        <w:t>万元。</w:t>
      </w:r>
    </w:p>
    <w:p w14:paraId="5F30BFBC">
      <w:pPr>
        <w:keepNext w:val="0"/>
        <w:keepLines w:val="0"/>
        <w:pageBreakBefore w:val="0"/>
        <w:widowControl/>
        <w:kinsoku/>
        <w:wordWrap/>
        <w:overflowPunct/>
        <w:topLinePunct w:val="0"/>
        <w:bidi w:val="0"/>
        <w:snapToGrid/>
        <w:spacing w:line="52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2.项目支出年末结转和结余为</w:t>
      </w:r>
      <w:r>
        <w:rPr>
          <w:rFonts w:hint="eastAsia" w:ascii="仿宋_GB2312" w:hAnsi="仿宋_GB2312" w:eastAsia="仿宋_GB2312" w:cs="仿宋_GB2312"/>
          <w:sz w:val="32"/>
          <w:szCs w:val="32"/>
          <w:lang w:val="en-US" w:eastAsia="zh-CN"/>
        </w:rPr>
        <w:t>274.2</w:t>
      </w:r>
      <w:r>
        <w:rPr>
          <w:rFonts w:hint="eastAsia" w:ascii="仿宋_GB2312" w:hAnsi="仿宋_GB2312" w:eastAsia="仿宋_GB2312" w:cs="仿宋_GB2312"/>
          <w:sz w:val="32"/>
          <w:szCs w:val="32"/>
        </w:rPr>
        <w:t>万元，一是档案信息化项目已完成招标，项目需跨年完成；二是部分培训、市场招聘活动的经费尚未开支。</w:t>
      </w:r>
    </w:p>
    <w:p w14:paraId="00A7141D">
      <w:pPr>
        <w:keepNext w:val="0"/>
        <w:keepLines w:val="0"/>
        <w:pageBreakBefore w:val="0"/>
        <w:widowControl/>
        <w:kinsoku/>
        <w:wordWrap/>
        <w:overflowPunct/>
        <w:topLinePunct w:val="0"/>
        <w:bidi w:val="0"/>
        <w:snapToGrid/>
        <w:spacing w:line="52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三、政府性基金预算支出情况</w:t>
      </w:r>
    </w:p>
    <w:p w14:paraId="1D26F742">
      <w:pPr>
        <w:pStyle w:val="16"/>
        <w:keepNext w:val="0"/>
        <w:keepLines w:val="0"/>
        <w:pageBreakBefore w:val="0"/>
        <w:widowControl/>
        <w:kinsoku/>
        <w:wordWrap/>
        <w:overflowPunct/>
        <w:topLinePunct w:val="0"/>
        <w:bidi w:val="0"/>
        <w:snapToGrid/>
        <w:spacing w:line="520" w:lineRule="exact"/>
        <w:ind w:left="640" w:firstLine="0" w:firstLine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p w14:paraId="05BAF2C3">
      <w:pPr>
        <w:keepNext w:val="0"/>
        <w:keepLines w:val="0"/>
        <w:pageBreakBefore w:val="0"/>
        <w:widowControl/>
        <w:kinsoku/>
        <w:wordWrap/>
        <w:overflowPunct/>
        <w:topLinePunct w:val="0"/>
        <w:bidi w:val="0"/>
        <w:snapToGrid/>
        <w:spacing w:line="52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四、国有资本经营预算支出情况</w:t>
      </w:r>
    </w:p>
    <w:p w14:paraId="10B9EF16">
      <w:pPr>
        <w:pStyle w:val="16"/>
        <w:keepNext w:val="0"/>
        <w:keepLines w:val="0"/>
        <w:pageBreakBefore w:val="0"/>
        <w:widowControl/>
        <w:kinsoku/>
        <w:wordWrap/>
        <w:overflowPunct/>
        <w:topLinePunct w:val="0"/>
        <w:bidi w:val="0"/>
        <w:snapToGrid/>
        <w:spacing w:line="520" w:lineRule="exact"/>
        <w:ind w:left="640" w:firstLine="0" w:firstLine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p w14:paraId="02A86242">
      <w:pPr>
        <w:keepNext w:val="0"/>
        <w:keepLines w:val="0"/>
        <w:pageBreakBefore w:val="0"/>
        <w:widowControl/>
        <w:kinsoku/>
        <w:wordWrap/>
        <w:overflowPunct/>
        <w:topLinePunct w:val="0"/>
        <w:bidi w:val="0"/>
        <w:snapToGrid/>
        <w:spacing w:line="52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五、社会保险基金预算支出情况</w:t>
      </w:r>
    </w:p>
    <w:p w14:paraId="2DD8D55B">
      <w:pPr>
        <w:keepNext w:val="0"/>
        <w:keepLines w:val="0"/>
        <w:pageBreakBefore w:val="0"/>
        <w:widowControl/>
        <w:kinsoku/>
        <w:wordWrap/>
        <w:overflowPunct/>
        <w:topLinePunct w:val="0"/>
        <w:bidi w:val="0"/>
        <w:snapToGrid/>
        <w:spacing w:line="520" w:lineRule="exact"/>
        <w:ind w:firstLine="645"/>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p w14:paraId="785FE7FA">
      <w:pPr>
        <w:keepNext w:val="0"/>
        <w:keepLines w:val="0"/>
        <w:pageBreakBefore w:val="0"/>
        <w:widowControl/>
        <w:kinsoku/>
        <w:wordWrap/>
        <w:overflowPunct/>
        <w:topLinePunct w:val="0"/>
        <w:bidi w:val="0"/>
        <w:snapToGrid/>
        <w:spacing w:line="52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六、单位整体支出绩效情况</w:t>
      </w:r>
    </w:p>
    <w:p w14:paraId="5ADCBFC9">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仿宋_GB2312" w:cs="仿宋_GB2312"/>
          <w:sz w:val="32"/>
          <w:szCs w:val="32"/>
          <w:shd w:val="clear" w:color="auto" w:fill="auto"/>
        </w:rPr>
      </w:pPr>
      <w:r>
        <w:rPr>
          <w:rFonts w:hint="eastAsia" w:ascii="Times New Roman" w:hAnsi="Times New Roman" w:eastAsia="仿宋_GB2312" w:cs="仿宋_GB2312"/>
          <w:color w:val="000000"/>
          <w:sz w:val="32"/>
          <w:szCs w:val="32"/>
        </w:rPr>
        <w:t>202</w:t>
      </w:r>
      <w:r>
        <w:rPr>
          <w:rFonts w:hint="eastAsia" w:ascii="Times New Roman" w:hAnsi="Times New Roman" w:eastAsia="仿宋_GB2312" w:cs="仿宋_GB2312"/>
          <w:color w:val="000000"/>
          <w:sz w:val="32"/>
          <w:szCs w:val="32"/>
          <w:lang w:val="en-US" w:eastAsia="zh-CN"/>
        </w:rPr>
        <w:t>3</w:t>
      </w:r>
      <w:r>
        <w:rPr>
          <w:rFonts w:hint="eastAsia" w:ascii="Times New Roman" w:hAnsi="Times New Roman" w:eastAsia="仿宋_GB2312" w:cs="仿宋_GB2312"/>
          <w:color w:val="000000"/>
          <w:sz w:val="32"/>
          <w:szCs w:val="32"/>
        </w:rPr>
        <w:t>年以来，湖南省大中专学校学生信息咨询与就业指导中心（以下简称中心）始终坚持以习近平新时代中国特色社会主义思想为指导，</w:t>
      </w:r>
      <w:r>
        <w:rPr>
          <w:rFonts w:hint="eastAsia" w:ascii="Times New Roman" w:hAnsi="Times New Roman" w:eastAsia="仿宋_GB2312" w:cs="仿宋_GB2312"/>
          <w:color w:val="000000"/>
          <w:kern w:val="0"/>
          <w:sz w:val="32"/>
          <w:szCs w:val="32"/>
          <w:lang w:val="en-US" w:eastAsia="zh-CN" w:bidi="ar"/>
        </w:rPr>
        <w:t>深入学习贯彻党的二十大精神，全面落实党中央、国务院、省委省政府对高校毕业生就业创业工作的决策部署，</w:t>
      </w:r>
      <w:r>
        <w:rPr>
          <w:rFonts w:hint="eastAsia" w:ascii="Times New Roman" w:hAnsi="Times New Roman" w:eastAsia="仿宋_GB2312" w:cs="仿宋_GB2312"/>
          <w:color w:val="000000"/>
          <w:sz w:val="32"/>
          <w:szCs w:val="32"/>
        </w:rPr>
        <w:t>深刻认识做好高校毕业生就业创业工作的重要性紧迫性，在委厅的正确领导下，在厅机关相关处室的指导支持下，</w:t>
      </w:r>
      <w:r>
        <w:rPr>
          <w:rFonts w:hint="eastAsia" w:ascii="Times New Roman" w:hAnsi="Times New Roman" w:eastAsia="仿宋_GB2312" w:cs="仿宋_GB2312"/>
          <w:color w:val="000000"/>
          <w:kern w:val="0"/>
          <w:sz w:val="32"/>
          <w:szCs w:val="32"/>
          <w:lang w:val="en-US" w:eastAsia="zh-CN" w:bidi="ar"/>
        </w:rPr>
        <w:t>紧密结合我省高校毕业生就业工作实际，创新思路举措，千方百计促进高校毕业生多渠道就业创业，</w:t>
      </w:r>
      <w:r>
        <w:rPr>
          <w:rFonts w:hint="eastAsia" w:ascii="Times New Roman" w:hAnsi="Times New Roman" w:eastAsia="仿宋_GB2312" w:cs="仿宋_GB2312"/>
          <w:color w:val="000000"/>
          <w:sz w:val="32"/>
          <w:szCs w:val="32"/>
        </w:rPr>
        <w:t>确保全省</w:t>
      </w:r>
      <w:r>
        <w:rPr>
          <w:rFonts w:hint="eastAsia" w:ascii="Times New Roman" w:hAnsi="Times New Roman" w:eastAsia="仿宋_GB2312" w:cs="仿宋_GB2312"/>
          <w:color w:val="000000"/>
          <w:sz w:val="32"/>
          <w:szCs w:val="32"/>
          <w:lang w:val="en-US" w:eastAsia="zh-CN"/>
        </w:rPr>
        <w:t>高校毕业生</w:t>
      </w:r>
      <w:r>
        <w:rPr>
          <w:rFonts w:hint="eastAsia" w:ascii="Times New Roman" w:hAnsi="Times New Roman" w:eastAsia="仿宋_GB2312" w:cs="仿宋_GB2312"/>
          <w:color w:val="000000"/>
          <w:sz w:val="32"/>
          <w:szCs w:val="32"/>
        </w:rPr>
        <w:t>就业形势总体平稳</w:t>
      </w:r>
      <w:r>
        <w:rPr>
          <w:rFonts w:hint="eastAsia" w:ascii="Times New Roman" w:hAnsi="Times New Roman" w:eastAsia="仿宋_GB2312" w:cs="仿宋_GB2312"/>
          <w:color w:val="000000"/>
          <w:sz w:val="32"/>
          <w:szCs w:val="32"/>
          <w:lang w:eastAsia="zh-CN"/>
        </w:rPr>
        <w:t>，</w:t>
      </w:r>
      <w:r>
        <w:rPr>
          <w:rFonts w:hint="eastAsia" w:ascii="Times New Roman" w:hAnsi="Times New Roman" w:eastAsia="仿宋_GB2312" w:cs="仿宋_GB2312"/>
          <w:color w:val="000000"/>
          <w:sz w:val="32"/>
          <w:szCs w:val="32"/>
        </w:rPr>
        <w:t>截至8月31日，全省202</w:t>
      </w:r>
      <w:r>
        <w:rPr>
          <w:rFonts w:hint="eastAsia" w:ascii="Times New Roman" w:hAnsi="Times New Roman" w:eastAsia="仿宋_GB2312" w:cs="仿宋_GB2312"/>
          <w:color w:val="000000"/>
          <w:sz w:val="32"/>
          <w:szCs w:val="32"/>
          <w:lang w:val="en-US" w:eastAsia="zh-CN"/>
        </w:rPr>
        <w:t>3</w:t>
      </w:r>
      <w:r>
        <w:rPr>
          <w:rFonts w:hint="eastAsia" w:ascii="Times New Roman" w:hAnsi="Times New Roman" w:eastAsia="仿宋_GB2312" w:cs="仿宋_GB2312"/>
          <w:color w:val="000000"/>
          <w:sz w:val="32"/>
          <w:szCs w:val="32"/>
        </w:rPr>
        <w:t>届高校毕业生毕业去向落实率为88.</w:t>
      </w:r>
      <w:r>
        <w:rPr>
          <w:rFonts w:hint="eastAsia" w:ascii="Times New Roman" w:hAnsi="Times New Roman" w:eastAsia="仿宋_GB2312" w:cs="仿宋_GB2312"/>
          <w:color w:val="000000"/>
          <w:sz w:val="32"/>
          <w:szCs w:val="32"/>
          <w:lang w:val="en-US" w:eastAsia="zh-CN"/>
        </w:rPr>
        <w:t>62</w:t>
      </w:r>
      <w:r>
        <w:rPr>
          <w:rFonts w:hint="eastAsia" w:ascii="Times New Roman" w:hAnsi="Times New Roman" w:eastAsia="仿宋_GB2312" w:cs="仿宋_GB2312"/>
          <w:color w:val="000000"/>
          <w:sz w:val="32"/>
          <w:szCs w:val="32"/>
        </w:rPr>
        <w:t>%，</w:t>
      </w:r>
      <w:r>
        <w:rPr>
          <w:rFonts w:hint="eastAsia" w:ascii="Times New Roman" w:hAnsi="Times New Roman" w:eastAsia="仿宋_GB2312" w:cs="仿宋_GB2312"/>
          <w:color w:val="000000"/>
          <w:sz w:val="32"/>
          <w:szCs w:val="32"/>
          <w:lang w:val="en-US" w:eastAsia="zh-CN"/>
        </w:rPr>
        <w:t>高于去年同期水平。我省就业工作获得晓明书记、伟明省长、殿勋副书记、建中副省长、国文副省长、忠诚部长多次批示，</w:t>
      </w:r>
      <w:r>
        <w:rPr>
          <w:rFonts w:hint="eastAsia" w:ascii="Times New Roman" w:hAnsi="Times New Roman" w:eastAsia="仿宋_GB2312" w:cs="仿宋_GB2312"/>
          <w:color w:val="000000"/>
          <w:kern w:val="2"/>
          <w:sz w:val="32"/>
          <w:szCs w:val="32"/>
          <w:lang w:val="en-US" w:eastAsia="zh-CN" w:bidi="ar-SA"/>
        </w:rPr>
        <w:t>教育部翁铁慧副部长来湘调研时对中心工作给予充分肯定。</w:t>
      </w:r>
      <w:r>
        <w:rPr>
          <w:rFonts w:hint="eastAsia" w:ascii="Times New Roman" w:hAnsi="Times New Roman" w:eastAsia="仿宋_GB2312" w:cs="仿宋_GB2312"/>
          <w:color w:val="000000"/>
          <w:sz w:val="32"/>
          <w:szCs w:val="32"/>
        </w:rPr>
        <w:t>中央教育工作领导小组秘书组</w:t>
      </w:r>
      <w:r>
        <w:rPr>
          <w:rFonts w:hint="eastAsia" w:ascii="Times New Roman" w:hAnsi="Times New Roman" w:eastAsia="仿宋_GB2312" w:cs="仿宋_GB2312"/>
          <w:color w:val="000000"/>
          <w:sz w:val="32"/>
          <w:szCs w:val="32"/>
          <w:lang w:eastAsia="zh-CN"/>
        </w:rPr>
        <w:t>《</w:t>
      </w:r>
      <w:r>
        <w:rPr>
          <w:rFonts w:hint="eastAsia" w:ascii="Times New Roman" w:hAnsi="Times New Roman" w:eastAsia="仿宋_GB2312" w:cs="仿宋_GB2312"/>
          <w:color w:val="000000"/>
          <w:sz w:val="32"/>
          <w:szCs w:val="32"/>
        </w:rPr>
        <w:t>湖南用心用力提升高校毕业生 就业指导服务实效（教育工作情况第26期）</w:t>
      </w:r>
      <w:r>
        <w:rPr>
          <w:rFonts w:hint="eastAsia" w:ascii="Times New Roman" w:hAnsi="Times New Roman" w:eastAsia="仿宋_GB2312" w:cs="仿宋_GB2312"/>
          <w:color w:val="000000"/>
          <w:sz w:val="32"/>
          <w:szCs w:val="32"/>
          <w:lang w:eastAsia="zh-CN"/>
        </w:rPr>
        <w:t>》</w:t>
      </w:r>
      <w:r>
        <w:rPr>
          <w:rFonts w:hint="eastAsia" w:ascii="Times New Roman" w:hAnsi="Times New Roman" w:eastAsia="仿宋_GB2312" w:cs="仿宋_GB2312"/>
          <w:color w:val="000000"/>
          <w:sz w:val="32"/>
          <w:szCs w:val="32"/>
        </w:rPr>
        <w:t>、教育部简报</w:t>
      </w:r>
      <w:r>
        <w:rPr>
          <w:rFonts w:hint="eastAsia" w:ascii="Times New Roman" w:hAnsi="Times New Roman" w:eastAsia="仿宋_GB2312" w:cs="仿宋_GB2312"/>
          <w:color w:val="000000"/>
          <w:sz w:val="32"/>
          <w:szCs w:val="32"/>
          <w:lang w:eastAsia="zh-CN"/>
        </w:rPr>
        <w:t>《湖南省强化“四实”举措 积极推进高校毕业生就业工作（教育部简报〔2023〕第12期）》</w:t>
      </w:r>
      <w:r>
        <w:rPr>
          <w:rFonts w:hint="eastAsia" w:ascii="Times New Roman" w:hAnsi="Times New Roman" w:eastAsia="仿宋_GB2312" w:cs="仿宋_GB2312"/>
          <w:color w:val="000000"/>
          <w:sz w:val="32"/>
          <w:szCs w:val="32"/>
        </w:rPr>
        <w:t>分别对我省就业工作做了专题推介。在省教育厅“我为现代化建设献策”</w:t>
      </w:r>
      <w:r>
        <w:rPr>
          <w:rFonts w:hint="eastAsia" w:ascii="Times New Roman" w:hAnsi="Times New Roman" w:eastAsia="仿宋_GB2312" w:cs="仿宋_GB2312"/>
          <w:color w:val="000000"/>
          <w:sz w:val="32"/>
          <w:szCs w:val="32"/>
          <w:lang w:val="en-US" w:eastAsia="zh-CN"/>
        </w:rPr>
        <w:t>决策咨询建议</w:t>
      </w:r>
      <w:r>
        <w:rPr>
          <w:rFonts w:hint="eastAsia" w:ascii="Times New Roman" w:hAnsi="Times New Roman" w:eastAsia="仿宋_GB2312" w:cs="仿宋_GB2312"/>
          <w:color w:val="000000"/>
          <w:sz w:val="32"/>
          <w:szCs w:val="32"/>
        </w:rPr>
        <w:t>活动评审中获</w:t>
      </w:r>
      <w:r>
        <w:rPr>
          <w:rFonts w:hint="eastAsia" w:ascii="Times New Roman" w:hAnsi="Times New Roman" w:eastAsia="仿宋_GB2312" w:cs="仿宋_GB2312"/>
          <w:color w:val="000000"/>
          <w:sz w:val="32"/>
          <w:szCs w:val="32"/>
          <w:lang w:val="en-US" w:eastAsia="zh-CN"/>
        </w:rPr>
        <w:t>一等奖3个，三等奖2个和</w:t>
      </w:r>
      <w:r>
        <w:rPr>
          <w:rFonts w:hint="eastAsia" w:ascii="Times New Roman" w:hAnsi="Times New Roman" w:eastAsia="仿宋_GB2312" w:cs="仿宋_GB2312"/>
          <w:color w:val="000000"/>
          <w:sz w:val="32"/>
          <w:szCs w:val="32"/>
        </w:rPr>
        <w:t>优秀组织奖。</w:t>
      </w:r>
      <w:r>
        <w:rPr>
          <w:rFonts w:hint="eastAsia" w:ascii="Times New Roman" w:hAnsi="Times New Roman" w:eastAsia="仿宋_GB2312" w:cs="仿宋_GB2312"/>
          <w:color w:val="auto"/>
          <w:sz w:val="32"/>
          <w:szCs w:val="32"/>
        </w:rPr>
        <w:t>中心</w:t>
      </w:r>
      <w:r>
        <w:rPr>
          <w:rFonts w:hint="eastAsia" w:ascii="Times New Roman" w:hAnsi="Times New Roman" w:eastAsia="仿宋_GB2312" w:cs="仿宋_GB2312"/>
          <w:color w:val="auto"/>
          <w:sz w:val="32"/>
          <w:szCs w:val="32"/>
          <w:lang w:val="en-US" w:eastAsia="zh-CN"/>
        </w:rPr>
        <w:t>被省教育厅评为</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lang w:val="en-US" w:eastAsia="zh-CN"/>
        </w:rPr>
        <w:t>委厅优秀基层党组织</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lang w:val="en-US" w:eastAsia="zh-CN"/>
        </w:rPr>
        <w:t>清廉单元样本”</w:t>
      </w:r>
      <w:r>
        <w:rPr>
          <w:rFonts w:hint="eastAsia" w:ascii="Times New Roman" w:hAnsi="Times New Roman" w:eastAsia="仿宋_GB2312" w:cs="仿宋_GB2312"/>
          <w:color w:val="auto"/>
          <w:sz w:val="32"/>
          <w:szCs w:val="32"/>
        </w:rPr>
        <w:t>。</w:t>
      </w:r>
    </w:p>
    <w:p w14:paraId="300535EC">
      <w:pPr>
        <w:pStyle w:val="3"/>
        <w:keepNext w:val="0"/>
        <w:keepLines w:val="0"/>
        <w:pageBreakBefore w:val="0"/>
        <w:kinsoku/>
        <w:wordWrap/>
        <w:overflowPunct/>
        <w:topLinePunct w:val="0"/>
        <w:autoSpaceDE/>
        <w:autoSpaceDN/>
        <w:bidi w:val="0"/>
        <w:adjustRightInd w:val="0"/>
        <w:snapToGrid w:val="0"/>
        <w:spacing w:after="0" w:line="560" w:lineRule="exact"/>
        <w:ind w:left="0" w:leftChars="0" w:firstLine="643"/>
        <w:textAlignment w:val="auto"/>
        <w:rPr>
          <w:rFonts w:ascii="Times New Roman" w:hAnsi="Times New Roman" w:eastAsia="仿宋_GB2312" w:cs="仿宋_GB2312"/>
          <w:color w:val="000000"/>
          <w:sz w:val="32"/>
          <w:szCs w:val="32"/>
          <w:shd w:val="clear" w:color="auto" w:fill="auto"/>
        </w:rPr>
      </w:pPr>
      <w:r>
        <w:rPr>
          <w:rFonts w:hint="eastAsia" w:ascii="仿宋_GB2312" w:hAnsi="仿宋_GB2312" w:eastAsia="仿宋_GB2312" w:cs="仿宋_GB2312"/>
          <w:b/>
          <w:bCs/>
          <w:sz w:val="32"/>
          <w:szCs w:val="32"/>
        </w:rPr>
        <w:t>一是</w:t>
      </w:r>
      <w:r>
        <w:rPr>
          <w:rFonts w:hint="eastAsia" w:ascii="仿宋_GB2312" w:hAnsi="仿宋_GB2312" w:eastAsia="仿宋_GB2312" w:cs="仿宋_GB2312"/>
          <w:b/>
          <w:sz w:val="32"/>
          <w:szCs w:val="32"/>
        </w:rPr>
        <w:t>积极开拓就业市场。</w:t>
      </w:r>
      <w:r>
        <w:rPr>
          <w:rFonts w:hint="eastAsia" w:ascii="Times New Roman" w:hAnsi="Times New Roman" w:eastAsia="仿宋_GB2312" w:cs="仿宋_GB2312"/>
          <w:color w:val="000000"/>
          <w:sz w:val="32"/>
          <w:szCs w:val="32"/>
          <w:shd w:val="clear" w:color="auto" w:fill="auto"/>
        </w:rPr>
        <w:t>组织我省高校分批次开展省内外重点用人单位访企拓岗</w:t>
      </w:r>
      <w:r>
        <w:rPr>
          <w:rFonts w:hint="default" w:ascii="Times New Roman" w:hAnsi="Times New Roman" w:eastAsia="仿宋_GB2312" w:cs="仿宋_GB2312"/>
          <w:color w:val="000000"/>
          <w:sz w:val="32"/>
          <w:szCs w:val="32"/>
          <w:shd w:val="clear" w:color="auto" w:fill="auto"/>
        </w:rPr>
        <w:t>，在</w:t>
      </w:r>
      <w:r>
        <w:rPr>
          <w:rFonts w:hint="eastAsia" w:ascii="Times New Roman" w:hAnsi="Times New Roman" w:eastAsia="仿宋_GB2312" w:cs="仿宋_GB2312"/>
          <w:color w:val="000000"/>
          <w:sz w:val="32"/>
          <w:szCs w:val="32"/>
          <w:shd w:val="clear" w:color="auto" w:fill="auto"/>
        </w:rPr>
        <w:t>重点园区</w:t>
      </w:r>
      <w:r>
        <w:rPr>
          <w:rFonts w:hint="default" w:ascii="Times New Roman" w:hAnsi="Times New Roman" w:eastAsia="仿宋_GB2312" w:cs="仿宋_GB2312"/>
          <w:color w:val="000000"/>
          <w:sz w:val="32"/>
          <w:szCs w:val="32"/>
          <w:shd w:val="clear" w:color="auto" w:fill="auto"/>
        </w:rPr>
        <w:t>、</w:t>
      </w:r>
      <w:r>
        <w:rPr>
          <w:rFonts w:hint="eastAsia" w:ascii="Times New Roman" w:hAnsi="Times New Roman" w:eastAsia="仿宋_GB2312" w:cs="仿宋_GB2312"/>
          <w:color w:val="000000"/>
          <w:sz w:val="32"/>
          <w:szCs w:val="32"/>
          <w:shd w:val="clear" w:color="auto" w:fill="auto"/>
        </w:rPr>
        <w:t>多所高校举办专场招聘会。启动</w:t>
      </w:r>
      <w:r>
        <w:rPr>
          <w:rFonts w:hint="eastAsia" w:ascii="Times New Roman" w:hAnsi="Times New Roman" w:eastAsia="仿宋_GB2312" w:cs="仿宋_GB2312"/>
          <w:color w:val="000000"/>
          <w:sz w:val="32"/>
          <w:szCs w:val="32"/>
          <w:shd w:val="clear" w:color="auto" w:fill="auto"/>
          <w:lang w:val="en-US" w:eastAsia="zh-CN"/>
        </w:rPr>
        <w:t>做好</w:t>
      </w:r>
      <w:r>
        <w:rPr>
          <w:rFonts w:hint="eastAsia" w:ascii="Times New Roman" w:hAnsi="Times New Roman" w:eastAsia="仿宋_GB2312" w:cs="仿宋_GB2312"/>
          <w:color w:val="000000"/>
          <w:sz w:val="32"/>
          <w:szCs w:val="32"/>
          <w:shd w:val="clear" w:color="auto" w:fill="auto"/>
        </w:rPr>
        <w:t>高校毕业生就业促进月活动，举办专场招聘会</w:t>
      </w:r>
      <w:r>
        <w:rPr>
          <w:rFonts w:hint="eastAsia" w:ascii="Times New Roman" w:hAnsi="Times New Roman" w:eastAsia="仿宋_GB2312" w:cs="仿宋_GB2312"/>
          <w:color w:val="000000"/>
          <w:sz w:val="32"/>
          <w:szCs w:val="32"/>
          <w:shd w:val="clear" w:color="auto" w:fill="auto"/>
          <w:lang w:eastAsia="zh-CN"/>
        </w:rPr>
        <w:t>、</w:t>
      </w:r>
      <w:r>
        <w:rPr>
          <w:rFonts w:hint="eastAsia" w:ascii="Times New Roman" w:hAnsi="Times New Roman" w:eastAsia="仿宋_GB2312" w:cs="仿宋_GB2312"/>
          <w:color w:val="000000"/>
          <w:sz w:val="32"/>
          <w:szCs w:val="32"/>
          <w:shd w:val="clear" w:color="auto" w:fill="auto"/>
        </w:rPr>
        <w:t>就业部门负责人培训班等系列活动。全省</w:t>
      </w:r>
      <w:r>
        <w:rPr>
          <w:rFonts w:hint="eastAsia" w:ascii="Times New Roman" w:hAnsi="Times New Roman" w:eastAsia="仿宋_GB2312" w:cs="仿宋_GB2312"/>
          <w:color w:val="000000"/>
          <w:sz w:val="32"/>
          <w:szCs w:val="32"/>
          <w:shd w:val="clear" w:color="auto" w:fill="auto"/>
          <w:lang w:val="en-US" w:eastAsia="zh-CN"/>
        </w:rPr>
        <w:t>全年</w:t>
      </w:r>
      <w:r>
        <w:rPr>
          <w:rFonts w:hint="eastAsia" w:ascii="Times New Roman" w:hAnsi="Times New Roman" w:eastAsia="仿宋_GB2312" w:cs="仿宋_GB2312"/>
          <w:color w:val="000000"/>
          <w:sz w:val="32"/>
          <w:szCs w:val="32"/>
          <w:shd w:val="clear" w:color="auto" w:fill="auto"/>
        </w:rPr>
        <w:t>累计举办线上线下相结合的专场招聘会2.21万余场，参会企业12万余家，提供岗位279万余个。</w:t>
      </w:r>
    </w:p>
    <w:p w14:paraId="4FBBABB4">
      <w:pPr>
        <w:keepNext w:val="0"/>
        <w:keepLines w:val="0"/>
        <w:pageBreakBefore w:val="0"/>
        <w:kinsoku/>
        <w:wordWrap/>
        <w:overflowPunct/>
        <w:topLinePunct w:val="0"/>
        <w:bidi w:val="0"/>
        <w:snapToGrid/>
        <w:spacing w:line="520" w:lineRule="exact"/>
        <w:ind w:firstLine="640" w:firstLineChars="200"/>
        <w:textAlignment w:val="auto"/>
        <w:rPr>
          <w:rFonts w:hint="eastAsia" w:ascii="仿宋_GB2312" w:hAnsi="仿宋_GB2312" w:eastAsia="仿宋_GB2312" w:cs="仿宋_GB2312"/>
          <w:sz w:val="32"/>
          <w:szCs w:val="32"/>
        </w:rPr>
      </w:pPr>
    </w:p>
    <w:p w14:paraId="25032FA5">
      <w:pPr>
        <w:keepNext w:val="0"/>
        <w:keepLines w:val="0"/>
        <w:pageBreakBefore w:val="0"/>
        <w:kinsoku/>
        <w:wordWrap/>
        <w:overflowPunct/>
        <w:topLinePunct w:val="0"/>
        <w:bidi w:val="0"/>
        <w:snapToGrid/>
        <w:spacing w:line="520" w:lineRule="exact"/>
        <w:ind w:firstLine="640" w:firstLineChars="200"/>
        <w:textAlignment w:val="auto"/>
        <w:rPr>
          <w:rFonts w:hint="eastAsia" w:ascii="Times New Roman" w:hAnsi="Times New Roman" w:eastAsia="仿宋_GB2312" w:cs="仿宋_GB2312"/>
          <w:color w:val="000000"/>
          <w:sz w:val="32"/>
          <w:szCs w:val="32"/>
          <w:shd w:val="clear" w:color="auto" w:fill="auto"/>
        </w:rPr>
      </w:pPr>
      <w:r>
        <w:rPr>
          <w:rFonts w:hint="eastAsia" w:ascii="仿宋_GB2312" w:hAnsi="仿宋_GB2312" w:eastAsia="仿宋_GB2312" w:cs="仿宋_GB2312"/>
          <w:b/>
          <w:bCs/>
          <w:sz w:val="32"/>
          <w:szCs w:val="32"/>
        </w:rPr>
        <w:t>二是</w:t>
      </w:r>
      <w:r>
        <w:rPr>
          <w:rFonts w:hint="eastAsia" w:ascii="Times New Roman" w:hAnsi="Times New Roman" w:eastAsia="仿宋_GB2312" w:cs="仿宋_GB2312"/>
          <w:b/>
          <w:sz w:val="32"/>
          <w:szCs w:val="32"/>
          <w:shd w:val="clear" w:color="auto" w:fill="auto"/>
        </w:rPr>
        <w:t>助</w:t>
      </w:r>
      <w:r>
        <w:rPr>
          <w:rFonts w:hint="eastAsia" w:ascii="Times New Roman" w:hAnsi="Times New Roman" w:eastAsia="仿宋_GB2312" w:cs="仿宋_GB2312"/>
          <w:b/>
          <w:sz w:val="32"/>
          <w:szCs w:val="32"/>
          <w:shd w:val="clear" w:color="auto" w:fill="auto"/>
          <w:lang w:val="en-US" w:eastAsia="zh-CN"/>
        </w:rPr>
        <w:t>力</w:t>
      </w:r>
      <w:r>
        <w:rPr>
          <w:rFonts w:hint="eastAsia" w:ascii="Times New Roman" w:hAnsi="Times New Roman" w:eastAsia="仿宋_GB2312" w:cs="仿宋_GB2312"/>
          <w:b/>
          <w:sz w:val="32"/>
          <w:szCs w:val="32"/>
          <w:shd w:val="clear" w:color="auto" w:fill="auto"/>
        </w:rPr>
        <w:t>做好政策性岗位招录。</w:t>
      </w:r>
      <w:r>
        <w:rPr>
          <w:rFonts w:hint="eastAsia" w:ascii="Times New Roman" w:hAnsi="Times New Roman" w:eastAsia="仿宋_GB2312" w:cs="仿宋_GB2312"/>
          <w:color w:val="000000"/>
          <w:sz w:val="32"/>
          <w:szCs w:val="32"/>
          <w:shd w:val="clear" w:color="auto" w:fill="auto"/>
        </w:rPr>
        <w:t>协助完成3.5万人次的特岗教师资格审查工作</w:t>
      </w:r>
      <w:r>
        <w:rPr>
          <w:rFonts w:hint="default" w:ascii="Times New Roman" w:hAnsi="Times New Roman" w:eastAsia="仿宋_GB2312" w:cs="仿宋_GB2312"/>
          <w:color w:val="000000"/>
          <w:sz w:val="32"/>
          <w:szCs w:val="32"/>
          <w:shd w:val="clear" w:color="auto" w:fill="auto"/>
        </w:rPr>
        <w:t>，</w:t>
      </w:r>
      <w:r>
        <w:rPr>
          <w:rFonts w:hint="eastAsia" w:ascii="Times New Roman" w:hAnsi="Times New Roman" w:eastAsia="仿宋_GB2312" w:cs="仿宋_GB2312"/>
          <w:color w:val="000000"/>
          <w:sz w:val="32"/>
          <w:szCs w:val="32"/>
          <w:shd w:val="clear" w:color="auto" w:fill="auto"/>
        </w:rPr>
        <w:t>举办教育部直属师范大学湖南生源公费师范毕业生就业供需</w:t>
      </w:r>
      <w:r>
        <w:rPr>
          <w:rFonts w:hint="eastAsia" w:ascii="Times New Roman" w:hAnsi="Times New Roman" w:eastAsia="仿宋_GB2312" w:cs="仿宋_GB2312"/>
          <w:color w:val="000000"/>
          <w:sz w:val="32"/>
          <w:szCs w:val="32"/>
          <w:shd w:val="clear" w:color="auto" w:fill="auto"/>
          <w:lang w:val="en-US" w:eastAsia="zh-CN"/>
        </w:rPr>
        <w:t>见面</w:t>
      </w:r>
      <w:r>
        <w:rPr>
          <w:rFonts w:hint="eastAsia" w:ascii="Times New Roman" w:hAnsi="Times New Roman" w:eastAsia="仿宋_GB2312" w:cs="仿宋_GB2312"/>
          <w:color w:val="000000"/>
          <w:sz w:val="32"/>
          <w:szCs w:val="32"/>
          <w:shd w:val="clear" w:color="auto" w:fill="auto"/>
        </w:rPr>
        <w:t>会，累计发布双向选择招聘计划数703个，达成意向签约336人次，正式签约250人；完成湖南省定向公费师范毕业生统计12088人。安排专人负责退役士兵专升本报考政策咨询、材料审核等工作，完成初审2061条，上报1255人。</w:t>
      </w:r>
    </w:p>
    <w:p w14:paraId="322155DF">
      <w:pPr>
        <w:keepNext w:val="0"/>
        <w:keepLines w:val="0"/>
        <w:pageBreakBefore w:val="0"/>
        <w:kinsoku/>
        <w:wordWrap/>
        <w:overflowPunct/>
        <w:topLinePunct w:val="0"/>
        <w:bidi w:val="0"/>
        <w:snapToGrid/>
        <w:spacing w:line="520" w:lineRule="exact"/>
        <w:ind w:firstLine="640" w:firstLineChars="200"/>
        <w:textAlignment w:val="auto"/>
        <w:rPr>
          <w:rFonts w:hint="eastAsia" w:ascii="Times New Roman" w:hAnsi="Times New Roman" w:eastAsia="仿宋_GB2312" w:cs="仿宋_GB2312"/>
          <w:color w:val="000000"/>
          <w:sz w:val="32"/>
          <w:szCs w:val="32"/>
          <w:shd w:val="clear" w:color="auto" w:fill="auto"/>
        </w:rPr>
      </w:pPr>
      <w:r>
        <w:rPr>
          <w:rFonts w:hint="eastAsia" w:ascii="仿宋_GB2312" w:hAnsi="仿宋_GB2312" w:eastAsia="仿宋_GB2312" w:cs="仿宋_GB2312"/>
          <w:b/>
          <w:bCs/>
          <w:sz w:val="32"/>
          <w:szCs w:val="32"/>
        </w:rPr>
        <w:t>三是</w:t>
      </w:r>
      <w:r>
        <w:rPr>
          <w:rFonts w:hint="eastAsia" w:ascii="Times New Roman" w:hAnsi="Times New Roman" w:eastAsia="楷体_GB2312" w:cs="楷体_GB2312"/>
          <w:b/>
          <w:bCs/>
          <w:color w:val="000000"/>
          <w:sz w:val="32"/>
          <w:szCs w:val="32"/>
          <w:shd w:val="clear" w:color="auto" w:fill="auto"/>
          <w:lang w:val="en-US" w:eastAsia="zh-CN"/>
        </w:rPr>
        <w:t>是</w:t>
      </w:r>
      <w:r>
        <w:rPr>
          <w:rFonts w:hint="eastAsia" w:ascii="Times New Roman" w:hAnsi="Times New Roman" w:eastAsia="楷体_GB2312" w:cs="楷体_GB2312"/>
          <w:b/>
          <w:bCs/>
          <w:color w:val="000000"/>
          <w:sz w:val="32"/>
          <w:szCs w:val="32"/>
          <w:shd w:val="clear" w:color="auto" w:fill="auto"/>
        </w:rPr>
        <w:t>建好用好常设市场。</w:t>
      </w:r>
      <w:r>
        <w:rPr>
          <w:rFonts w:hint="eastAsia" w:ascii="Times New Roman" w:hAnsi="Times New Roman" w:eastAsia="仿宋_GB2312" w:cs="仿宋_GB2312"/>
          <w:color w:val="000000"/>
          <w:sz w:val="32"/>
          <w:szCs w:val="32"/>
          <w:shd w:val="clear" w:color="auto" w:fill="auto"/>
        </w:rPr>
        <w:t>实地调研走访25家区域性、行业性常设市场，</w:t>
      </w:r>
      <w:r>
        <w:rPr>
          <w:rFonts w:hint="eastAsia" w:ascii="Times New Roman" w:hAnsi="Times New Roman" w:eastAsia="仿宋_GB2312" w:cs="仿宋_GB2312"/>
          <w:color w:val="000000"/>
          <w:sz w:val="32"/>
          <w:szCs w:val="32"/>
          <w:shd w:val="clear" w:color="auto" w:fill="auto"/>
          <w:lang w:val="en-US" w:eastAsia="zh-CN"/>
        </w:rPr>
        <w:t>指导推动发挥作用。</w:t>
      </w:r>
      <w:r>
        <w:rPr>
          <w:rFonts w:hint="eastAsia" w:ascii="Times New Roman" w:hAnsi="Times New Roman" w:eastAsia="仿宋_GB2312" w:cs="仿宋_GB2312"/>
          <w:color w:val="000000"/>
          <w:sz w:val="32"/>
          <w:szCs w:val="32"/>
          <w:shd w:val="clear" w:color="auto" w:fill="auto"/>
        </w:rPr>
        <w:t>省内25家常设市场举办各类招聘会4711场，参会单位达19744家，提供岗位数68786个，学生参加人数达202836人次。</w:t>
      </w:r>
    </w:p>
    <w:p w14:paraId="09AC52C2">
      <w:pPr>
        <w:keepNext w:val="0"/>
        <w:keepLines w:val="0"/>
        <w:pageBreakBefore w:val="0"/>
        <w:kinsoku/>
        <w:wordWrap/>
        <w:overflowPunct/>
        <w:topLinePunct w:val="0"/>
        <w:bidi w:val="0"/>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四是大力开展促就业专项活动。</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年5月至6月，开展“湖南省202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届高校毕业生就业促进月”活动，通过开展系列招聘、开拓市场、宣传教育、赛事、研究培训、就业服务等六大主题活动，有效推动了20</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1届高校毕业生高质量充分就业。202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年12月启动“202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届高校毕业生湖南省就业创业促进月”系列活动，开展项目路演、创新创业相关论坛、校企对接会、专场招聘会等活动，为促进202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届高校毕业生就业创业营造浓厚氛围。</w:t>
      </w:r>
    </w:p>
    <w:p w14:paraId="6FF66285">
      <w:pPr>
        <w:keepNext w:val="0"/>
        <w:keepLines w:val="0"/>
        <w:pageBreakBefore w:val="0"/>
        <w:kinsoku/>
        <w:wordWrap/>
        <w:overflowPunct/>
        <w:topLinePunct w:val="0"/>
        <w:bidi w:val="0"/>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五是用心用情做好就业服务保障。</w:t>
      </w:r>
      <w:r>
        <w:rPr>
          <w:rFonts w:hint="eastAsia" w:ascii="仿宋_GB2312" w:hAnsi="仿宋_GB2312" w:eastAsia="仿宋_GB2312" w:cs="仿宋_GB2312"/>
          <w:sz w:val="32"/>
          <w:szCs w:val="32"/>
        </w:rPr>
        <w:t>持续推进“互联网+政务服务”改革，将毕业生档案托管、就业报到证办理全面对接我省“互联网+政务服务”一体化服务平台，实现档案业务等就业手续办理全程信息化。202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线上线下共办理报到证33万余张，接收档案近7000份，转出档案近5000份，全年受理全国高等教育学历认证近13000份、中等职业学院学历认证近5000份。继续优化湖南省毕业生档案信息化数字化服务平台，开发档案托管线上申请系统，实现了高校毕业生档案信息收集、审核、导出等相关功能。目前已在部分高校和市州完成推广试点工作，初步实现了档案线上可查、线上转递的多项功能，并完成了1.5万余份库存档案的数字化影像化。根据厅委统一部署，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年完成新生学籍注册77.97万人、毕业生身份复核3.44余万人，审核在校生学年注册121万余人、受理学位报送数据审核备案14.6万人。完成202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五年一贯制”学生录取信息审核工作，审核上传录取数据、照片2.4万余人。协助开展专升本学籍学历审核工作，审核4万余次。开展全省博士学位、硕士学位、学士学位数据审核与信息备案、数据修改补报等工作，全年受理学位报送数据审核备案14.6万人、数据补报564人。做好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 xml:space="preserve">届毕业生微信实名认证及就业创业指导服务评价调研问卷相关工作，共41.75万名毕业生参与，占总毕业生人数的98.14%，为核查毕业去向落实率打下了坚实的基础。。  </w:t>
      </w:r>
    </w:p>
    <w:p w14:paraId="63BD6A53">
      <w:pPr>
        <w:keepNext w:val="0"/>
        <w:keepLines w:val="0"/>
        <w:pageBreakBefore w:val="0"/>
        <w:kinsoku/>
        <w:wordWrap/>
        <w:overflowPunct/>
        <w:topLinePunct w:val="0"/>
        <w:bidi w:val="0"/>
        <w:snapToGrid/>
        <w:spacing w:line="520"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六是深入细致做好就业指导帮扶。一是细致做好基础工作。</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年组织开展20余场重点群体毕业生专场招聘会，举办12期线上专场培训，按照高于教育部为原“建档立卡”贫困毕业生等重点群体至少推荐3次就业岗位的要求，执行</w:t>
      </w:r>
      <w:r>
        <w:rPr>
          <w:rFonts w:hint="eastAsia" w:ascii="仿宋_GB2312" w:hAnsi="仿宋_GB2312" w:eastAsia="仿宋_GB2312" w:cs="仿宋_GB2312"/>
          <w:bCs/>
          <w:sz w:val="32"/>
          <w:szCs w:val="32"/>
        </w:rPr>
        <w:t>5∶1的推荐比例推送岗位信息10余万条。我省</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届原“建档立卡”贫困毕业生近2.5万人，目前，有就业意愿的原“建档立卡”贫困毕业生已实现100%就业。同时，依托湖南省大中专院校毕业生就业办公信息系统，搭建湖南省“建档立卡”毕业生台账系统，要求各高校录入台账数据，</w:t>
      </w:r>
      <w:r>
        <w:rPr>
          <w:rFonts w:hint="eastAsia" w:ascii="仿宋_GB2312" w:hAnsi="仿宋_GB2312" w:eastAsia="仿宋_GB2312" w:cs="仿宋_GB2312"/>
          <w:kern w:val="0"/>
          <w:sz w:val="32"/>
          <w:szCs w:val="32"/>
        </w:rPr>
        <w:t>全面掌握重点群体毕业生的就业需求。</w:t>
      </w:r>
      <w:r>
        <w:rPr>
          <w:rFonts w:hint="eastAsia" w:ascii="仿宋_GB2312" w:hAnsi="仿宋_GB2312" w:eastAsia="仿宋_GB2312" w:cs="仿宋_GB2312"/>
          <w:b/>
          <w:bCs/>
          <w:sz w:val="32"/>
          <w:szCs w:val="32"/>
        </w:rPr>
        <w:t>二是启动“宏志助航”计划。</w:t>
      </w:r>
      <w:r>
        <w:rPr>
          <w:rFonts w:hint="eastAsia" w:ascii="仿宋_GB2312" w:hAnsi="仿宋_GB2312" w:eastAsia="仿宋_GB2312" w:cs="仿宋_GB2312"/>
          <w:sz w:val="32"/>
          <w:szCs w:val="32"/>
        </w:rPr>
        <w:t>根据教育部通知要求，做好我省“全国高校毕业生就业能力培训基地”的管理与监督工作，切实督促我省毕业生就业能力培训基地发挥对低收入家庭高校毕业生就业帮扶作用。目前，全省7所入选高校已全面启动“宏志助航”培训工作，已完成培训全省3150名家庭经济困难毕业生等重点群体提供就业能力培训。</w:t>
      </w:r>
    </w:p>
    <w:p w14:paraId="6E72A108">
      <w:pPr>
        <w:keepNext w:val="0"/>
        <w:keepLines w:val="0"/>
        <w:pageBreakBefore w:val="0"/>
        <w:widowControl/>
        <w:kinsoku/>
        <w:wordWrap/>
        <w:overflowPunct/>
        <w:topLinePunct w:val="0"/>
        <w:bidi w:val="0"/>
        <w:snapToGrid/>
        <w:spacing w:line="520" w:lineRule="exact"/>
        <w:ind w:firstLine="640" w:firstLineChars="200"/>
        <w:jc w:val="left"/>
        <w:textAlignment w:val="auto"/>
        <w:rPr>
          <w:rFonts w:hint="eastAsia" w:ascii="黑体" w:hAnsi="黑体" w:eastAsia="黑体" w:cs="黑体"/>
          <w:sz w:val="32"/>
          <w:szCs w:val="32"/>
        </w:rPr>
      </w:pPr>
      <w:r>
        <w:rPr>
          <w:rFonts w:hint="eastAsia" w:ascii="黑体" w:hAnsi="黑体" w:eastAsia="黑体" w:cs="黑体"/>
          <w:sz w:val="32"/>
          <w:szCs w:val="32"/>
        </w:rPr>
        <w:t>七、存在的问题及原因分析</w:t>
      </w:r>
    </w:p>
    <w:p w14:paraId="686C07A4">
      <w:pPr>
        <w:keepNext w:val="0"/>
        <w:keepLines w:val="0"/>
        <w:pageBreakBefore w:val="0"/>
        <w:widowControl/>
        <w:kinsoku/>
        <w:wordWrap/>
        <w:overflowPunct/>
        <w:topLinePunct w:val="0"/>
        <w:bidi w:val="0"/>
        <w:snapToGrid/>
        <w:spacing w:line="52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项目支出年末结转和结余为</w:t>
      </w:r>
      <w:r>
        <w:rPr>
          <w:rFonts w:hint="eastAsia" w:ascii="仿宋_GB2312" w:hAnsi="仿宋_GB2312" w:eastAsia="仿宋_GB2312" w:cs="仿宋_GB2312"/>
          <w:sz w:val="32"/>
          <w:szCs w:val="32"/>
          <w:lang w:val="en-US" w:eastAsia="zh-CN"/>
        </w:rPr>
        <w:t>274.2</w:t>
      </w:r>
      <w:r>
        <w:rPr>
          <w:rFonts w:hint="eastAsia" w:ascii="仿宋_GB2312" w:hAnsi="仿宋_GB2312" w:eastAsia="仿宋_GB2312" w:cs="仿宋_GB2312"/>
          <w:sz w:val="32"/>
          <w:szCs w:val="32"/>
        </w:rPr>
        <w:t>万元，一是档案信息化项目已完成招标，项目需跨年完成；二是由于部分培训、市场招聘活动的经费尚未开支。</w:t>
      </w:r>
    </w:p>
    <w:p w14:paraId="420887AD">
      <w:pPr>
        <w:keepNext w:val="0"/>
        <w:keepLines w:val="0"/>
        <w:pageBreakBefore w:val="0"/>
        <w:widowControl/>
        <w:kinsoku/>
        <w:wordWrap/>
        <w:overflowPunct/>
        <w:topLinePunct w:val="0"/>
        <w:bidi w:val="0"/>
        <w:snapToGrid/>
        <w:spacing w:line="520" w:lineRule="exact"/>
        <w:ind w:firstLine="640" w:firstLineChars="200"/>
        <w:jc w:val="left"/>
        <w:textAlignment w:val="auto"/>
        <w:rPr>
          <w:rFonts w:hint="eastAsia" w:ascii="黑体" w:hAnsi="黑体" w:eastAsia="黑体" w:cs="黑体"/>
          <w:sz w:val="32"/>
          <w:szCs w:val="32"/>
        </w:rPr>
      </w:pPr>
      <w:r>
        <w:rPr>
          <w:rFonts w:hint="eastAsia" w:ascii="黑体" w:hAnsi="黑体" w:eastAsia="黑体" w:cs="黑体"/>
          <w:sz w:val="32"/>
          <w:szCs w:val="32"/>
        </w:rPr>
        <w:t>八、下一步改进措施</w:t>
      </w:r>
    </w:p>
    <w:p w14:paraId="426CDC10">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仿宋_GB2312" w:hAnsi="仿宋_GB2312" w:eastAsia="仿宋_GB2312" w:cs="仿宋_GB2312"/>
          <w:sz w:val="32"/>
          <w:szCs w:val="32"/>
        </w:rPr>
        <w:t>下一步，我中心将不断查找财务管理制度和执行的漏洞，剖析原因，完善办法，加强资金审核和支出的内控机制建设，坚持日常监督和专项检查相结合，做实做细自查自纠工作，形成常态化的工作机制，为确保毕业生充分就业提供强有力的保障，使有限的就业专项资金发挥更大的社会效益。</w:t>
      </w:r>
    </w:p>
    <w:p w14:paraId="6A5DB892">
      <w:pPr>
        <w:pStyle w:val="15"/>
        <w:jc w:val="center"/>
        <w:rPr>
          <w:sz w:val="72"/>
          <w:szCs w:val="72"/>
        </w:rPr>
      </w:pPr>
    </w:p>
    <w:p w14:paraId="5B1C089B">
      <w:pPr>
        <w:pStyle w:val="15"/>
        <w:jc w:val="center"/>
        <w:rPr>
          <w:sz w:val="72"/>
          <w:szCs w:val="72"/>
        </w:rPr>
      </w:pPr>
    </w:p>
    <w:p w14:paraId="1F857EF0">
      <w:pPr>
        <w:jc w:val="left"/>
        <w:rPr>
          <w:rFonts w:ascii="宋体" w:hAnsi="宋体" w:cs="黑体"/>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5F23A">
    <w:pPr>
      <w:spacing w:line="180" w:lineRule="auto"/>
      <w:ind w:left="4439"/>
      <w:rPr>
        <w:rFonts w:hint="default" w:ascii="仿宋" w:hAnsi="仿宋" w:eastAsia="仿宋" w:cs="仿宋"/>
        <w:sz w:val="32"/>
        <w:szCs w:val="32"/>
        <w:lang w:val="en-US" w:eastAsia="zh-CN"/>
      </w:rPr>
    </w:pPr>
    <w:r>
      <w:rPr>
        <w:sz w:val="3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12F35B09">
                          <w:pPr>
                            <w:pStyle w:val="8"/>
                          </w:pPr>
                          <w:r>
                            <w:fldChar w:fldCharType="begin"/>
                          </w:r>
                          <w:r>
                            <w:instrText xml:space="preserve"> PAGE  \* MERGEFORMAT </w:instrText>
                          </w:r>
                          <w:r>
                            <w:fldChar w:fldCharType="separate"/>
                          </w:r>
                          <w:r>
                            <w:t>2</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OqXm5zwAAAAUBAAAPAAAAAAAA&#10;AAEAIAAAACIAAABkcnMvZG93bnJldi54bWxQSwECFAAUAAAACACHTuJAO2jeE+IBAADMAwAADgAA&#10;AAAAAAABACAAAAAeAQAAZHJzL2Uyb0RvYy54bWxQSwUGAAAAAAYABgBZAQAAcgUAAAAA&#10;">
              <v:fill on="f" focussize="0,0"/>
              <v:stroke on="f"/>
              <v:imagedata o:title=""/>
              <o:lock v:ext="edit" aspectratio="f"/>
              <v:textbox inset="0mm,0mm,0mm,0mm" style="mso-fit-shape-to-text:t;">
                <w:txbxContent>
                  <w:p w14:paraId="12F35B09">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753CE9"/>
    <w:multiLevelType w:val="singleLevel"/>
    <w:tmpl w:val="94753CE9"/>
    <w:lvl w:ilvl="0" w:tentative="0">
      <w:start w:val="7"/>
      <w:numFmt w:val="chineseCounting"/>
      <w:suff w:val="nothing"/>
      <w:lvlText w:val="%1、"/>
      <w:lvlJc w:val="left"/>
      <w:rPr>
        <w:rFonts w:hint="eastAsia"/>
      </w:r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VlOGJhMjI0MGQ4NjAwYjM5ODlhYzU4MDI5MjBhNmM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7AA45D1"/>
    <w:rsid w:val="0B6E3B68"/>
    <w:rsid w:val="1A4E5AEB"/>
    <w:rsid w:val="1D97DEFF"/>
    <w:rsid w:val="1DFF72E5"/>
    <w:rsid w:val="1EFC6F07"/>
    <w:rsid w:val="26BE2818"/>
    <w:rsid w:val="298F34E4"/>
    <w:rsid w:val="2A934E4E"/>
    <w:rsid w:val="2BD72DAF"/>
    <w:rsid w:val="2FDF85B8"/>
    <w:rsid w:val="2FFFEE04"/>
    <w:rsid w:val="34DF85B0"/>
    <w:rsid w:val="355060A9"/>
    <w:rsid w:val="3B8F36BC"/>
    <w:rsid w:val="42E4745C"/>
    <w:rsid w:val="47487B56"/>
    <w:rsid w:val="491FF225"/>
    <w:rsid w:val="4CB608EF"/>
    <w:rsid w:val="4FFD214C"/>
    <w:rsid w:val="53F73CC7"/>
    <w:rsid w:val="544B3BE4"/>
    <w:rsid w:val="5777D4F5"/>
    <w:rsid w:val="59DD8326"/>
    <w:rsid w:val="5A5D05FC"/>
    <w:rsid w:val="5DB70023"/>
    <w:rsid w:val="5DEF592A"/>
    <w:rsid w:val="5DFF3AC4"/>
    <w:rsid w:val="5FC6BB1E"/>
    <w:rsid w:val="5FF720F1"/>
    <w:rsid w:val="65AC02DD"/>
    <w:rsid w:val="65C6174B"/>
    <w:rsid w:val="66A12E8D"/>
    <w:rsid w:val="67FF5C0B"/>
    <w:rsid w:val="68630BBB"/>
    <w:rsid w:val="6A51274D"/>
    <w:rsid w:val="6E9879FD"/>
    <w:rsid w:val="6EA445F4"/>
    <w:rsid w:val="6EFC0924"/>
    <w:rsid w:val="6FB74722"/>
    <w:rsid w:val="6FEF8B7E"/>
    <w:rsid w:val="71A6591B"/>
    <w:rsid w:val="737D59BA"/>
    <w:rsid w:val="77145ED7"/>
    <w:rsid w:val="77C37683"/>
    <w:rsid w:val="79FF515B"/>
    <w:rsid w:val="7A215836"/>
    <w:rsid w:val="7E674683"/>
    <w:rsid w:val="7E9E1962"/>
    <w:rsid w:val="7E9F11B4"/>
    <w:rsid w:val="7F37EC1E"/>
    <w:rsid w:val="7F7DCD9D"/>
    <w:rsid w:val="7F914720"/>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nhideWhenUsed="0" w:uiPriority="99" w:semiHidden="0"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ody Text"/>
    <w:basedOn w:val="1"/>
    <w:next w:val="6"/>
    <w:qFormat/>
    <w:uiPriority w:val="1"/>
    <w:rPr>
      <w:rFonts w:ascii="宋体" w:hAnsi="宋体" w:eastAsia="宋体" w:cs="宋体"/>
      <w:sz w:val="32"/>
      <w:szCs w:val="32"/>
      <w:lang w:val="zh-CN" w:eastAsia="zh-CN" w:bidi="zh-CN"/>
    </w:rPr>
  </w:style>
  <w:style w:type="paragraph" w:styleId="6">
    <w:name w:val="toc 5"/>
    <w:basedOn w:val="1"/>
    <w:next w:val="1"/>
    <w:qFormat/>
    <w:uiPriority w:val="99"/>
    <w:pPr>
      <w:ind w:left="1680" w:leftChars="800"/>
    </w:pPr>
    <w:rPr>
      <w:rFonts w:ascii="Times New Roman" w:hAnsi="Times New Roman"/>
    </w:rPr>
  </w:style>
  <w:style w:type="paragraph" w:styleId="7">
    <w:name w:val="Balloon Text"/>
    <w:basedOn w:val="1"/>
    <w:link w:val="17"/>
    <w:semiHidden/>
    <w:unhideWhenUsed/>
    <w:qFormat/>
    <w:uiPriority w:val="99"/>
    <w:rPr>
      <w:sz w:val="18"/>
      <w:szCs w:val="18"/>
    </w:rPr>
  </w:style>
  <w:style w:type="paragraph" w:styleId="8">
    <w:name w:val="footer"/>
    <w:basedOn w:val="1"/>
    <w:link w:val="14"/>
    <w:unhideWhenUsed/>
    <w:qFormat/>
    <w:uiPriority w:val="99"/>
    <w:pPr>
      <w:tabs>
        <w:tab w:val="center" w:pos="4153"/>
        <w:tab w:val="right" w:pos="8306"/>
      </w:tabs>
      <w:snapToGrid w:val="0"/>
      <w:jc w:val="left"/>
    </w:pPr>
    <w:rPr>
      <w:sz w:val="18"/>
      <w:szCs w:val="18"/>
    </w:rPr>
  </w:style>
  <w:style w:type="paragraph" w:styleId="9">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12">
    <w:name w:val="Emphasis"/>
    <w:basedOn w:val="11"/>
    <w:qFormat/>
    <w:uiPriority w:val="20"/>
    <w:rPr>
      <w:i/>
    </w:rPr>
  </w:style>
  <w:style w:type="character" w:customStyle="1" w:styleId="13">
    <w:name w:val="页眉 Char"/>
    <w:basedOn w:val="11"/>
    <w:link w:val="9"/>
    <w:qFormat/>
    <w:uiPriority w:val="99"/>
    <w:rPr>
      <w:sz w:val="18"/>
      <w:szCs w:val="18"/>
    </w:rPr>
  </w:style>
  <w:style w:type="character" w:customStyle="1" w:styleId="14">
    <w:name w:val="页脚 Char"/>
    <w:basedOn w:val="11"/>
    <w:link w:val="8"/>
    <w:qFormat/>
    <w:uiPriority w:val="99"/>
    <w:rPr>
      <w:sz w:val="18"/>
      <w:szCs w:val="18"/>
    </w:rPr>
  </w:style>
  <w:style w:type="paragraph" w:customStyle="1" w:styleId="15">
    <w:name w:val="Default"/>
    <w:qFormat/>
    <w:uiPriority w:val="0"/>
    <w:pPr>
      <w:widowControl w:val="0"/>
      <w:autoSpaceDE w:val="0"/>
      <w:autoSpaceDN w:val="0"/>
      <w:adjustRightInd w:val="0"/>
    </w:pPr>
    <w:rPr>
      <w:rFonts w:ascii="黑体" w:hAnsi="Calibri" w:eastAsia="黑体" w:cs="黑体"/>
      <w:color w:val="000000"/>
      <w:kern w:val="0"/>
      <w:sz w:val="24"/>
      <w:szCs w:val="24"/>
      <w:lang w:val="en-US" w:eastAsia="zh-CN" w:bidi="ar-SA"/>
    </w:rPr>
  </w:style>
  <w:style w:type="paragraph" w:styleId="16">
    <w:name w:val="List Paragraph"/>
    <w:basedOn w:val="1"/>
    <w:qFormat/>
    <w:uiPriority w:val="34"/>
    <w:pPr>
      <w:ind w:firstLine="420" w:firstLineChars="200"/>
    </w:pPr>
  </w:style>
  <w:style w:type="character" w:customStyle="1" w:styleId="17">
    <w:name w:val="批注框文本 Char"/>
    <w:basedOn w:val="11"/>
    <w:link w:val="7"/>
    <w:semiHidden/>
    <w:qFormat/>
    <w:uiPriority w:val="99"/>
    <w:rPr>
      <w:sz w:val="18"/>
      <w:szCs w:val="18"/>
    </w:rPr>
  </w:style>
  <w:style w:type="character" w:customStyle="1" w:styleId="18">
    <w:name w:val="font01"/>
    <w:basedOn w:val="11"/>
    <w:qFormat/>
    <w:uiPriority w:val="0"/>
    <w:rPr>
      <w:rFonts w:hint="eastAsia" w:ascii="宋体" w:hAnsi="宋体" w:eastAsia="宋体" w:cs="宋体"/>
      <w:color w:val="000000"/>
      <w:sz w:val="22"/>
      <w:szCs w:val="22"/>
      <w:u w:val="none"/>
    </w:rPr>
  </w:style>
  <w:style w:type="character" w:customStyle="1" w:styleId="19">
    <w:name w:val="font21"/>
    <w:basedOn w:val="11"/>
    <w:qFormat/>
    <w:uiPriority w:val="0"/>
    <w:rPr>
      <w:rFonts w:hint="eastAsia" w:ascii="宋体" w:hAnsi="宋体" w:eastAsia="宋体" w:cs="宋体"/>
      <w:color w:val="000000"/>
      <w:sz w:val="24"/>
      <w:szCs w:val="24"/>
      <w:u w:val="none"/>
    </w:rPr>
  </w:style>
  <w:style w:type="character" w:customStyle="1" w:styleId="20">
    <w:name w:val="font11"/>
    <w:basedOn w:val="1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20</Pages>
  <Words>8658</Words>
  <Characters>9897</Characters>
  <Lines>63</Lines>
  <Paragraphs>18</Paragraphs>
  <TotalTime>3</TotalTime>
  <ScaleCrop>false</ScaleCrop>
  <LinksUpToDate>false</LinksUpToDate>
  <CharactersWithSpaces>10965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ViVi</cp:lastModifiedBy>
  <cp:lastPrinted>2024-09-03T06:31:00Z</cp:lastPrinted>
  <dcterms:modified xsi:type="dcterms:W3CDTF">2024-09-04T08:42:52Z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05990D83A73546B7B876C9A145C9536D_13</vt:lpwstr>
  </property>
</Properties>
</file>